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018E3" w14:textId="77777777" w:rsidR="00187608" w:rsidRPr="00187608" w:rsidRDefault="00187608" w:rsidP="00187608">
      <w:pPr>
        <w:spacing w:after="120" w:line="240" w:lineRule="auto"/>
        <w:jc w:val="both"/>
        <w:rPr>
          <w:rFonts w:ascii="Arial" w:hAnsi="Arial" w:cs="Arial"/>
          <w:sz w:val="20"/>
          <w:szCs w:val="20"/>
        </w:rPr>
      </w:pPr>
      <w:r w:rsidRPr="00187608">
        <w:rPr>
          <w:rFonts w:ascii="Arial" w:hAnsi="Arial" w:cs="Arial"/>
          <w:sz w:val="20"/>
          <w:szCs w:val="20"/>
        </w:rPr>
        <w:t>Rahandusministeerium</w:t>
      </w:r>
    </w:p>
    <w:p w14:paraId="20776860" w14:textId="77777777" w:rsidR="00187608" w:rsidRPr="00187608" w:rsidRDefault="00187608" w:rsidP="00187608">
      <w:pPr>
        <w:spacing w:after="120" w:line="240" w:lineRule="auto"/>
        <w:jc w:val="both"/>
        <w:rPr>
          <w:rFonts w:ascii="Arial" w:hAnsi="Arial" w:cs="Arial"/>
          <w:sz w:val="20"/>
          <w:szCs w:val="20"/>
        </w:rPr>
      </w:pPr>
      <w:r w:rsidRPr="00187608">
        <w:rPr>
          <w:rFonts w:ascii="Arial" w:hAnsi="Arial" w:cs="Arial"/>
          <w:sz w:val="20"/>
          <w:szCs w:val="20"/>
        </w:rPr>
        <w:t>Suur-Ameerika 1, Tallinn 10122</w:t>
      </w:r>
    </w:p>
    <w:p w14:paraId="1FEBEF49" w14:textId="77777777" w:rsidR="00187608" w:rsidRPr="00187608" w:rsidRDefault="00000000" w:rsidP="00187608">
      <w:pPr>
        <w:spacing w:after="120" w:line="240" w:lineRule="auto"/>
        <w:jc w:val="both"/>
        <w:rPr>
          <w:rFonts w:ascii="Arial" w:hAnsi="Arial" w:cs="Arial"/>
          <w:sz w:val="20"/>
          <w:szCs w:val="20"/>
        </w:rPr>
      </w:pPr>
      <w:hyperlink r:id="rId6" w:history="1">
        <w:r w:rsidR="00187608" w:rsidRPr="00187608">
          <w:rPr>
            <w:rStyle w:val="Hyperlink"/>
            <w:rFonts w:ascii="Arial" w:hAnsi="Arial" w:cs="Arial"/>
            <w:sz w:val="20"/>
            <w:szCs w:val="20"/>
          </w:rPr>
          <w:t>Valner.Lille@fin.ee</w:t>
        </w:r>
      </w:hyperlink>
      <w:r w:rsidR="00187608" w:rsidRPr="00187608">
        <w:rPr>
          <w:rFonts w:ascii="Arial" w:hAnsi="Arial" w:cs="Arial"/>
          <w:sz w:val="20"/>
          <w:szCs w:val="20"/>
        </w:rPr>
        <w:t xml:space="preserve">; </w:t>
      </w:r>
      <w:hyperlink r:id="rId7" w:history="1">
        <w:r w:rsidR="00187608" w:rsidRPr="00187608">
          <w:rPr>
            <w:rStyle w:val="Hyperlink"/>
            <w:rFonts w:ascii="Arial" w:hAnsi="Arial" w:cs="Arial"/>
            <w:sz w:val="20"/>
            <w:szCs w:val="20"/>
          </w:rPr>
          <w:t>info@fin.ee</w:t>
        </w:r>
      </w:hyperlink>
    </w:p>
    <w:p w14:paraId="39479724" w14:textId="77777777" w:rsidR="00187608" w:rsidRPr="00187608" w:rsidRDefault="00187608" w:rsidP="00187608">
      <w:pPr>
        <w:spacing w:after="120" w:line="240" w:lineRule="auto"/>
        <w:jc w:val="both"/>
        <w:rPr>
          <w:rFonts w:ascii="Arial" w:hAnsi="Arial" w:cs="Arial"/>
          <w:sz w:val="20"/>
          <w:szCs w:val="20"/>
        </w:rPr>
      </w:pPr>
    </w:p>
    <w:p w14:paraId="0A7E0ED5" w14:textId="77777777" w:rsidR="00187608" w:rsidRPr="00187608" w:rsidRDefault="00187608" w:rsidP="00187608">
      <w:pPr>
        <w:spacing w:after="120" w:line="240" w:lineRule="auto"/>
        <w:jc w:val="both"/>
        <w:rPr>
          <w:rFonts w:ascii="Arial" w:hAnsi="Arial" w:cs="Arial"/>
          <w:sz w:val="20"/>
          <w:szCs w:val="20"/>
        </w:rPr>
      </w:pPr>
    </w:p>
    <w:p w14:paraId="210BB12F" w14:textId="77777777" w:rsidR="00187608" w:rsidRPr="00187608" w:rsidRDefault="00187608" w:rsidP="00187608">
      <w:pPr>
        <w:spacing w:after="120" w:line="240" w:lineRule="auto"/>
        <w:jc w:val="both"/>
        <w:rPr>
          <w:rFonts w:ascii="Arial" w:hAnsi="Arial" w:cs="Arial"/>
          <w:sz w:val="20"/>
          <w:szCs w:val="20"/>
        </w:rPr>
      </w:pPr>
    </w:p>
    <w:p w14:paraId="58992D91" w14:textId="74C9F1EF" w:rsidR="00187608" w:rsidRPr="00187608" w:rsidRDefault="00187608" w:rsidP="00187608">
      <w:pPr>
        <w:spacing w:after="120" w:line="240" w:lineRule="auto"/>
        <w:jc w:val="right"/>
        <w:rPr>
          <w:rFonts w:ascii="Arial" w:hAnsi="Arial" w:cs="Arial"/>
          <w:sz w:val="20"/>
          <w:szCs w:val="20"/>
        </w:rPr>
      </w:pPr>
      <w:r>
        <w:rPr>
          <w:rFonts w:ascii="Arial" w:hAnsi="Arial" w:cs="Arial"/>
          <w:sz w:val="20"/>
          <w:szCs w:val="20"/>
        </w:rPr>
        <w:t>19</w:t>
      </w:r>
      <w:r w:rsidRPr="00187608">
        <w:rPr>
          <w:rFonts w:ascii="Arial" w:hAnsi="Arial" w:cs="Arial"/>
          <w:sz w:val="20"/>
          <w:szCs w:val="20"/>
        </w:rPr>
        <w:t>.0</w:t>
      </w:r>
      <w:r>
        <w:rPr>
          <w:rFonts w:ascii="Arial" w:hAnsi="Arial" w:cs="Arial"/>
          <w:sz w:val="20"/>
          <w:szCs w:val="20"/>
        </w:rPr>
        <w:t>8</w:t>
      </w:r>
      <w:r w:rsidRPr="00187608">
        <w:rPr>
          <w:rFonts w:ascii="Arial" w:hAnsi="Arial" w:cs="Arial"/>
          <w:sz w:val="20"/>
          <w:szCs w:val="20"/>
        </w:rPr>
        <w:t>.202</w:t>
      </w:r>
      <w:r>
        <w:rPr>
          <w:rFonts w:ascii="Arial" w:hAnsi="Arial" w:cs="Arial"/>
          <w:sz w:val="20"/>
          <w:szCs w:val="20"/>
        </w:rPr>
        <w:t>4</w:t>
      </w:r>
      <w:r w:rsidRPr="00187608">
        <w:rPr>
          <w:rFonts w:ascii="Arial" w:hAnsi="Arial" w:cs="Arial"/>
          <w:sz w:val="20"/>
          <w:szCs w:val="20"/>
        </w:rPr>
        <w:t>.a</w:t>
      </w:r>
    </w:p>
    <w:p w14:paraId="0775F72F" w14:textId="77777777" w:rsidR="00187608" w:rsidRPr="00187608" w:rsidRDefault="00187608" w:rsidP="00187608">
      <w:pPr>
        <w:spacing w:after="120" w:line="240" w:lineRule="auto"/>
        <w:jc w:val="both"/>
        <w:rPr>
          <w:rFonts w:ascii="Arial" w:hAnsi="Arial" w:cs="Arial"/>
          <w:sz w:val="20"/>
          <w:szCs w:val="20"/>
        </w:rPr>
      </w:pPr>
    </w:p>
    <w:p w14:paraId="539881F1" w14:textId="06DB779E" w:rsidR="00187608" w:rsidRPr="00187608" w:rsidRDefault="00187608" w:rsidP="00187608">
      <w:pPr>
        <w:spacing w:after="120" w:line="240" w:lineRule="auto"/>
        <w:jc w:val="both"/>
        <w:rPr>
          <w:rFonts w:ascii="Arial" w:hAnsi="Arial" w:cs="Arial"/>
          <w:sz w:val="20"/>
          <w:szCs w:val="20"/>
        </w:rPr>
      </w:pPr>
      <w:r w:rsidRPr="00187608">
        <w:rPr>
          <w:rFonts w:ascii="Arial" w:hAnsi="Arial" w:cs="Arial"/>
          <w:sz w:val="20"/>
          <w:szCs w:val="20"/>
        </w:rPr>
        <w:t xml:space="preserve">Lugupeetud </w:t>
      </w:r>
      <w:r w:rsidR="0073742D">
        <w:rPr>
          <w:rFonts w:ascii="Arial" w:hAnsi="Arial" w:cs="Arial"/>
          <w:sz w:val="20"/>
          <w:szCs w:val="20"/>
        </w:rPr>
        <w:t>Rahandusministeeriumi esindajad</w:t>
      </w:r>
    </w:p>
    <w:p w14:paraId="1CBDD96A" w14:textId="77777777" w:rsidR="00187608" w:rsidRPr="00187608" w:rsidRDefault="00187608" w:rsidP="00187608">
      <w:pPr>
        <w:spacing w:after="120" w:line="240" w:lineRule="auto"/>
        <w:jc w:val="both"/>
        <w:rPr>
          <w:rFonts w:ascii="Arial" w:hAnsi="Arial" w:cs="Arial"/>
          <w:sz w:val="20"/>
          <w:szCs w:val="20"/>
        </w:rPr>
      </w:pPr>
    </w:p>
    <w:p w14:paraId="3A4A6956" w14:textId="4B66C53B" w:rsidR="00187608" w:rsidRPr="00187608" w:rsidRDefault="00187608" w:rsidP="00187608">
      <w:pPr>
        <w:spacing w:after="120" w:line="240" w:lineRule="auto"/>
        <w:jc w:val="both"/>
        <w:rPr>
          <w:rFonts w:ascii="Arial" w:hAnsi="Arial" w:cs="Arial"/>
          <w:sz w:val="20"/>
          <w:szCs w:val="20"/>
        </w:rPr>
      </w:pPr>
      <w:r w:rsidRPr="00187608">
        <w:rPr>
          <w:rFonts w:ascii="Arial" w:hAnsi="Arial" w:cs="Arial"/>
          <w:sz w:val="20"/>
          <w:szCs w:val="20"/>
        </w:rPr>
        <w:t xml:space="preserve">Täname võimaluse eest avaldada arvamust </w:t>
      </w:r>
      <w:r w:rsidRPr="00187608">
        <w:rPr>
          <w:rFonts w:ascii="Arial" w:hAnsi="Arial" w:cs="Arial"/>
          <w:b/>
          <w:bCs/>
          <w:sz w:val="20"/>
          <w:szCs w:val="20"/>
        </w:rPr>
        <w:t>Väärtpaberituru seaduse muutmise ja sellega seonduvalt teiste seaduste muutmise seadus</w:t>
      </w:r>
      <w:r>
        <w:rPr>
          <w:rFonts w:ascii="Arial" w:hAnsi="Arial" w:cs="Arial"/>
          <w:b/>
          <w:bCs/>
          <w:sz w:val="20"/>
          <w:szCs w:val="20"/>
        </w:rPr>
        <w:t xml:space="preserve">e </w:t>
      </w:r>
      <w:r w:rsidRPr="00187608">
        <w:rPr>
          <w:rFonts w:ascii="Arial" w:hAnsi="Arial" w:cs="Arial"/>
          <w:sz w:val="20"/>
          <w:szCs w:val="20"/>
        </w:rPr>
        <w:t xml:space="preserve">plaanitavate muudatuste osas, mille edastati Eesti Advokatuurile arvamuse ja ettepanekute avaldamiseks </w:t>
      </w:r>
      <w:r>
        <w:rPr>
          <w:rFonts w:ascii="Arial" w:hAnsi="Arial" w:cs="Arial"/>
          <w:sz w:val="20"/>
          <w:szCs w:val="20"/>
        </w:rPr>
        <w:t>21</w:t>
      </w:r>
      <w:r w:rsidRPr="00187608">
        <w:rPr>
          <w:rFonts w:ascii="Arial" w:hAnsi="Arial" w:cs="Arial"/>
          <w:sz w:val="20"/>
          <w:szCs w:val="20"/>
        </w:rPr>
        <w:t>.0</w:t>
      </w:r>
      <w:r>
        <w:rPr>
          <w:rFonts w:ascii="Arial" w:hAnsi="Arial" w:cs="Arial"/>
          <w:sz w:val="20"/>
          <w:szCs w:val="20"/>
        </w:rPr>
        <w:t>6</w:t>
      </w:r>
      <w:r w:rsidRPr="00187608">
        <w:rPr>
          <w:rFonts w:ascii="Arial" w:hAnsi="Arial" w:cs="Arial"/>
          <w:sz w:val="20"/>
          <w:szCs w:val="20"/>
        </w:rPr>
        <w:t>.202</w:t>
      </w:r>
      <w:r>
        <w:rPr>
          <w:rFonts w:ascii="Arial" w:hAnsi="Arial" w:cs="Arial"/>
          <w:sz w:val="20"/>
          <w:szCs w:val="20"/>
        </w:rPr>
        <w:t>4</w:t>
      </w:r>
      <w:r w:rsidRPr="00187608">
        <w:rPr>
          <w:rFonts w:ascii="Arial" w:hAnsi="Arial" w:cs="Arial"/>
          <w:sz w:val="20"/>
          <w:szCs w:val="20"/>
        </w:rPr>
        <w:t>.a.</w:t>
      </w:r>
    </w:p>
    <w:p w14:paraId="53B7DA10" w14:textId="77777777" w:rsidR="00187608" w:rsidRPr="00187608" w:rsidRDefault="00187608" w:rsidP="00187608">
      <w:pPr>
        <w:spacing w:after="120" w:line="240" w:lineRule="auto"/>
        <w:jc w:val="both"/>
        <w:rPr>
          <w:rFonts w:ascii="Arial" w:hAnsi="Arial" w:cs="Arial"/>
          <w:sz w:val="20"/>
          <w:szCs w:val="20"/>
        </w:rPr>
      </w:pPr>
    </w:p>
    <w:p w14:paraId="4F357F23" w14:textId="0FC978EB" w:rsidR="00187608" w:rsidRPr="00187608" w:rsidRDefault="0064082A" w:rsidP="00187608">
      <w:pPr>
        <w:spacing w:after="120" w:line="240" w:lineRule="auto"/>
        <w:jc w:val="both"/>
        <w:rPr>
          <w:rFonts w:ascii="Arial" w:hAnsi="Arial" w:cs="Arial"/>
          <w:sz w:val="20"/>
          <w:szCs w:val="20"/>
        </w:rPr>
      </w:pPr>
      <w:r>
        <w:rPr>
          <w:rFonts w:ascii="Arial" w:hAnsi="Arial" w:cs="Arial"/>
          <w:sz w:val="20"/>
          <w:szCs w:val="20"/>
        </w:rPr>
        <w:t xml:space="preserve">Tunnustame kõigepealt </w:t>
      </w:r>
      <w:r w:rsidRPr="0064082A">
        <w:rPr>
          <w:rFonts w:ascii="Arial" w:hAnsi="Arial" w:cs="Arial"/>
          <w:sz w:val="20"/>
          <w:szCs w:val="20"/>
        </w:rPr>
        <w:t>suurt tööd, mis on tehtud eelnõu ettevalmistamisel</w:t>
      </w:r>
      <w:r>
        <w:rPr>
          <w:rFonts w:ascii="Arial" w:hAnsi="Arial" w:cs="Arial"/>
          <w:sz w:val="20"/>
          <w:szCs w:val="20"/>
        </w:rPr>
        <w:t xml:space="preserve"> ning tänuväärset algatust muuhulgas </w:t>
      </w:r>
      <w:proofErr w:type="spellStart"/>
      <w:r>
        <w:rPr>
          <w:rFonts w:ascii="Arial" w:hAnsi="Arial" w:cs="Arial"/>
          <w:i/>
          <w:iCs/>
          <w:sz w:val="20"/>
          <w:szCs w:val="20"/>
        </w:rPr>
        <w:t>close-out</w:t>
      </w:r>
      <w:proofErr w:type="spellEnd"/>
      <w:r>
        <w:rPr>
          <w:rFonts w:ascii="Arial" w:hAnsi="Arial" w:cs="Arial"/>
          <w:i/>
          <w:iCs/>
          <w:sz w:val="20"/>
          <w:szCs w:val="20"/>
        </w:rPr>
        <w:t xml:space="preserve"> </w:t>
      </w:r>
      <w:proofErr w:type="spellStart"/>
      <w:r>
        <w:rPr>
          <w:rFonts w:ascii="Arial" w:hAnsi="Arial" w:cs="Arial"/>
          <w:i/>
          <w:iCs/>
          <w:sz w:val="20"/>
          <w:szCs w:val="20"/>
        </w:rPr>
        <w:t>netting</w:t>
      </w:r>
      <w:r>
        <w:rPr>
          <w:rFonts w:ascii="Arial" w:hAnsi="Arial" w:cs="Arial"/>
          <w:sz w:val="20"/>
          <w:szCs w:val="20"/>
        </w:rPr>
        <w:t>’ut</w:t>
      </w:r>
      <w:proofErr w:type="spellEnd"/>
      <w:r>
        <w:rPr>
          <w:rFonts w:ascii="Arial" w:hAnsi="Arial" w:cs="Arial"/>
          <w:sz w:val="20"/>
          <w:szCs w:val="20"/>
        </w:rPr>
        <w:t xml:space="preserve"> reguleeriva õigusliku raamistiku parandamisel</w:t>
      </w:r>
      <w:r w:rsidRPr="0064082A">
        <w:rPr>
          <w:rFonts w:ascii="Arial" w:hAnsi="Arial" w:cs="Arial"/>
          <w:sz w:val="20"/>
          <w:szCs w:val="20"/>
        </w:rPr>
        <w:t xml:space="preserve">. </w:t>
      </w:r>
      <w:r w:rsidR="00187608" w:rsidRPr="00187608">
        <w:rPr>
          <w:rFonts w:ascii="Arial" w:hAnsi="Arial" w:cs="Arial"/>
          <w:sz w:val="20"/>
          <w:szCs w:val="20"/>
        </w:rPr>
        <w:t xml:space="preserve">Eesti Advokatuuri finantsõiguse komisjon esitab käesolevaga oma liikmetelt kogutud </w:t>
      </w:r>
      <w:r>
        <w:rPr>
          <w:rFonts w:ascii="Arial" w:hAnsi="Arial" w:cs="Arial"/>
          <w:sz w:val="20"/>
          <w:szCs w:val="20"/>
        </w:rPr>
        <w:t xml:space="preserve">mõningad kommentaarid ja </w:t>
      </w:r>
      <w:r w:rsidR="00187608" w:rsidRPr="00187608">
        <w:rPr>
          <w:rFonts w:ascii="Arial" w:hAnsi="Arial" w:cs="Arial"/>
          <w:sz w:val="20"/>
          <w:szCs w:val="20"/>
        </w:rPr>
        <w:t xml:space="preserve">seisukohad viidatud </w:t>
      </w:r>
      <w:r w:rsidR="0073742D">
        <w:rPr>
          <w:rFonts w:ascii="Arial" w:hAnsi="Arial" w:cs="Arial"/>
          <w:sz w:val="20"/>
          <w:szCs w:val="20"/>
        </w:rPr>
        <w:t>seaduste eelnõudele</w:t>
      </w:r>
      <w:r w:rsidR="00187608" w:rsidRPr="00187608">
        <w:rPr>
          <w:rFonts w:ascii="Arial" w:hAnsi="Arial" w:cs="Arial"/>
          <w:sz w:val="20"/>
          <w:szCs w:val="20"/>
        </w:rPr>
        <w:t>. Parema jälgitavuse ja ülevaatlikkuse huvides on kommentaarid ja ettepanekud esitatud allpool tabeli kujul.</w:t>
      </w:r>
    </w:p>
    <w:p w14:paraId="525B4E0F" w14:textId="77777777" w:rsidR="00187608" w:rsidRPr="00187608" w:rsidRDefault="00187608" w:rsidP="00187608">
      <w:pPr>
        <w:spacing w:after="120" w:line="240" w:lineRule="auto"/>
        <w:jc w:val="both"/>
        <w:rPr>
          <w:rFonts w:ascii="Arial" w:hAnsi="Arial" w:cs="Arial"/>
          <w:sz w:val="20"/>
          <w:szCs w:val="20"/>
        </w:rPr>
      </w:pPr>
    </w:p>
    <w:p w14:paraId="5CB1747B" w14:textId="0E11E714" w:rsidR="0073742D" w:rsidRPr="0073742D" w:rsidRDefault="00B96A59" w:rsidP="0073742D">
      <w:pPr>
        <w:pStyle w:val="ListParagraph"/>
        <w:numPr>
          <w:ilvl w:val="0"/>
          <w:numId w:val="4"/>
        </w:numPr>
        <w:spacing w:after="120" w:line="240" w:lineRule="auto"/>
        <w:ind w:left="567" w:hanging="567"/>
        <w:contextualSpacing w:val="0"/>
        <w:jc w:val="both"/>
        <w:rPr>
          <w:rFonts w:ascii="Arial" w:hAnsi="Arial" w:cs="Arial"/>
          <w:b/>
          <w:bCs/>
          <w:sz w:val="20"/>
          <w:szCs w:val="20"/>
          <w:u w:val="single"/>
        </w:rPr>
      </w:pPr>
      <w:r>
        <w:rPr>
          <w:rFonts w:ascii="Arial" w:hAnsi="Arial" w:cs="Arial"/>
          <w:b/>
          <w:bCs/>
          <w:sz w:val="20"/>
          <w:szCs w:val="20"/>
          <w:u w:val="single"/>
        </w:rPr>
        <w:t>V</w:t>
      </w:r>
      <w:r w:rsidR="0073742D" w:rsidRPr="0073742D">
        <w:rPr>
          <w:rFonts w:ascii="Arial" w:hAnsi="Arial" w:cs="Arial"/>
          <w:b/>
          <w:bCs/>
          <w:sz w:val="20"/>
          <w:szCs w:val="20"/>
          <w:u w:val="single"/>
        </w:rPr>
        <w:t>äärtpaberituru seaduse muutmi</w:t>
      </w:r>
      <w:r>
        <w:rPr>
          <w:rFonts w:ascii="Arial" w:hAnsi="Arial" w:cs="Arial"/>
          <w:b/>
          <w:bCs/>
          <w:sz w:val="20"/>
          <w:szCs w:val="20"/>
          <w:u w:val="single"/>
        </w:rPr>
        <w:t>ne</w:t>
      </w:r>
    </w:p>
    <w:tbl>
      <w:tblPr>
        <w:tblStyle w:val="TableGrid"/>
        <w:tblW w:w="0" w:type="auto"/>
        <w:tblLook w:val="04A0" w:firstRow="1" w:lastRow="0" w:firstColumn="1" w:lastColumn="0" w:noHBand="0" w:noVBand="1"/>
      </w:tblPr>
      <w:tblGrid>
        <w:gridCol w:w="2362"/>
        <w:gridCol w:w="6700"/>
      </w:tblGrid>
      <w:tr w:rsidR="0073742D" w:rsidRPr="00187608" w14:paraId="027FD050" w14:textId="77777777" w:rsidTr="00BA5E45">
        <w:tc>
          <w:tcPr>
            <w:tcW w:w="2362" w:type="dxa"/>
          </w:tcPr>
          <w:p w14:paraId="3E5C3EAA" w14:textId="77777777" w:rsidR="0073742D" w:rsidRPr="0073742D" w:rsidRDefault="0073742D" w:rsidP="0073742D">
            <w:pPr>
              <w:spacing w:after="120" w:line="240" w:lineRule="auto"/>
              <w:rPr>
                <w:rFonts w:ascii="Arial" w:hAnsi="Arial" w:cs="Arial"/>
              </w:rPr>
            </w:pPr>
            <w:r w:rsidRPr="0073742D">
              <w:rPr>
                <w:rFonts w:ascii="Arial" w:hAnsi="Arial" w:cs="Arial"/>
              </w:rPr>
              <w:t>Eelnõu § 1 p 2 – mõisted üldiselt</w:t>
            </w:r>
          </w:p>
          <w:p w14:paraId="04463EE8" w14:textId="77777777" w:rsidR="0073742D" w:rsidRPr="00187608" w:rsidRDefault="0073742D" w:rsidP="00D15A6C">
            <w:pPr>
              <w:pStyle w:val="SLONormal"/>
              <w:spacing w:before="0"/>
              <w:rPr>
                <w:rFonts w:ascii="Arial" w:hAnsi="Arial" w:cs="Arial"/>
                <w:lang w:val="et-EE"/>
              </w:rPr>
            </w:pPr>
          </w:p>
        </w:tc>
        <w:tc>
          <w:tcPr>
            <w:tcW w:w="6700" w:type="dxa"/>
          </w:tcPr>
          <w:p w14:paraId="5D080BB9" w14:textId="77777777" w:rsidR="00C902B4" w:rsidRPr="00187608" w:rsidRDefault="00C902B4" w:rsidP="00C902B4">
            <w:pPr>
              <w:pStyle w:val="ListParagraph"/>
              <w:numPr>
                <w:ilvl w:val="0"/>
                <w:numId w:val="3"/>
              </w:numPr>
              <w:spacing w:after="120" w:line="240" w:lineRule="auto"/>
              <w:rPr>
                <w:rFonts w:ascii="Arial" w:hAnsi="Arial" w:cs="Arial"/>
              </w:rPr>
            </w:pPr>
            <w:r>
              <w:rPr>
                <w:rFonts w:ascii="Arial" w:hAnsi="Arial" w:cs="Arial"/>
              </w:rPr>
              <w:t>Ettepanek on täpsustada seaduse tekstis, mida mõeldakse „ülekandeõiguste ja -kohustuste“ all, kuivõrd antud termin ei ole muudes õigusaktides defineeritud.</w:t>
            </w:r>
          </w:p>
          <w:p w14:paraId="442EBD68" w14:textId="77777777" w:rsidR="00C902B4" w:rsidRDefault="00C902B4" w:rsidP="00C902B4">
            <w:pPr>
              <w:pStyle w:val="ListParagraph"/>
              <w:spacing w:after="120" w:line="240" w:lineRule="auto"/>
              <w:rPr>
                <w:rFonts w:ascii="Arial" w:hAnsi="Arial" w:cs="Arial"/>
              </w:rPr>
            </w:pPr>
          </w:p>
          <w:p w14:paraId="1F3D968E" w14:textId="7C9D386C" w:rsidR="00C902B4" w:rsidRDefault="0073742D" w:rsidP="00C902B4">
            <w:pPr>
              <w:pStyle w:val="ListParagraph"/>
              <w:numPr>
                <w:ilvl w:val="0"/>
                <w:numId w:val="3"/>
              </w:numPr>
              <w:spacing w:after="120" w:line="240" w:lineRule="auto"/>
              <w:rPr>
                <w:rFonts w:ascii="Arial" w:hAnsi="Arial" w:cs="Arial"/>
              </w:rPr>
            </w:pPr>
            <w:r w:rsidRPr="00187608">
              <w:rPr>
                <w:rFonts w:ascii="Arial" w:hAnsi="Arial" w:cs="Arial"/>
              </w:rPr>
              <w:t xml:space="preserve">Ettepanek defineerida sõna ’kiirendamine’ seaduse tekstis. Asjaolu, et nt FELS või </w:t>
            </w:r>
            <w:proofErr w:type="spellStart"/>
            <w:r w:rsidRPr="00187608">
              <w:rPr>
                <w:rFonts w:ascii="Arial" w:hAnsi="Arial" w:cs="Arial"/>
              </w:rPr>
              <w:t>SanS</w:t>
            </w:r>
            <w:proofErr w:type="spellEnd"/>
            <w:r w:rsidRPr="00187608">
              <w:rPr>
                <w:rFonts w:ascii="Arial" w:hAnsi="Arial" w:cs="Arial"/>
              </w:rPr>
              <w:t xml:space="preserve"> kasutavad juba seda mõistet, ei too õiguskorda vajalikku selgust selle mõiste tähenduse osas. Samas on see tähendus oluline otsustamaks, milline kokkulepe konkreetselt langeb tasaarvestuskokkuleppe alla ning reguleerib lõpetamisel toimuvat tasaarvestust. Teeme ettepaneku kasutada </w:t>
            </w:r>
            <w:proofErr w:type="spellStart"/>
            <w:r w:rsidRPr="00187608">
              <w:rPr>
                <w:rFonts w:ascii="Arial" w:hAnsi="Arial" w:cs="Arial"/>
              </w:rPr>
              <w:t>VÕS’is</w:t>
            </w:r>
            <w:proofErr w:type="spellEnd"/>
            <w:r w:rsidRPr="00187608">
              <w:rPr>
                <w:rFonts w:ascii="Arial" w:hAnsi="Arial" w:cs="Arial"/>
              </w:rPr>
              <w:t xml:space="preserve"> kasutatud mõisteid ning osundada sarnaselt UNIDRIOT põhimõtetele </w:t>
            </w:r>
            <w:r>
              <w:rPr>
                <w:rFonts w:ascii="Arial" w:hAnsi="Arial" w:cs="Arial"/>
              </w:rPr>
              <w:t>„</w:t>
            </w:r>
            <w:r w:rsidRPr="00187608">
              <w:rPr>
                <w:rFonts w:ascii="Arial" w:hAnsi="Arial" w:cs="Arial"/>
                <w:i/>
                <w:iCs/>
              </w:rPr>
              <w:t>kokkuleppe alusel loetakse kohustuse täitmise tähtpäev ennetähtaegselt saabunuks ning kohustus on sissenõutav</w:t>
            </w:r>
            <w:r>
              <w:rPr>
                <w:rFonts w:ascii="Arial" w:hAnsi="Arial" w:cs="Arial"/>
                <w:i/>
                <w:iCs/>
              </w:rPr>
              <w:t>“</w:t>
            </w:r>
            <w:r w:rsidRPr="00187608">
              <w:rPr>
                <w:rFonts w:ascii="Arial" w:hAnsi="Arial" w:cs="Arial"/>
              </w:rPr>
              <w:t>.</w:t>
            </w:r>
          </w:p>
          <w:p w14:paraId="0D2B2C16" w14:textId="77777777" w:rsidR="00C902B4" w:rsidRPr="00C902B4" w:rsidRDefault="00C902B4" w:rsidP="00C902B4">
            <w:pPr>
              <w:pStyle w:val="ListParagraph"/>
              <w:rPr>
                <w:rFonts w:ascii="Arial" w:hAnsi="Arial" w:cs="Arial"/>
              </w:rPr>
            </w:pPr>
          </w:p>
          <w:p w14:paraId="0B8C62A5" w14:textId="41560237" w:rsidR="0073742D" w:rsidRDefault="0073742D" w:rsidP="0073742D">
            <w:pPr>
              <w:pStyle w:val="ListParagraph"/>
              <w:numPr>
                <w:ilvl w:val="0"/>
                <w:numId w:val="3"/>
              </w:numPr>
              <w:spacing w:after="120" w:line="240" w:lineRule="auto"/>
              <w:rPr>
                <w:rFonts w:ascii="Arial" w:hAnsi="Arial" w:cs="Arial"/>
              </w:rPr>
            </w:pPr>
            <w:r w:rsidRPr="00187608">
              <w:rPr>
                <w:rFonts w:ascii="Arial" w:hAnsi="Arial" w:cs="Arial"/>
              </w:rPr>
              <w:t xml:space="preserve">Ettepanek kasutada </w:t>
            </w:r>
            <w:r>
              <w:rPr>
                <w:rFonts w:ascii="Arial" w:hAnsi="Arial" w:cs="Arial"/>
              </w:rPr>
              <w:t>termini</w:t>
            </w:r>
            <w:r w:rsidRPr="00187608">
              <w:rPr>
                <w:rFonts w:ascii="Arial" w:hAnsi="Arial" w:cs="Arial"/>
              </w:rPr>
              <w:t xml:space="preserve"> ’tasaarvestuskokkulepe’ asemel nt </w:t>
            </w:r>
            <w:r>
              <w:rPr>
                <w:rFonts w:ascii="Arial" w:hAnsi="Arial" w:cs="Arial"/>
              </w:rPr>
              <w:t>terminit</w:t>
            </w:r>
            <w:r w:rsidRPr="00187608">
              <w:rPr>
                <w:rFonts w:ascii="Arial" w:hAnsi="Arial" w:cs="Arial"/>
              </w:rPr>
              <w:t xml:space="preserve"> </w:t>
            </w:r>
            <w:r w:rsidRPr="0073742D">
              <w:rPr>
                <w:rFonts w:ascii="Arial" w:hAnsi="Arial" w:cs="Arial"/>
              </w:rPr>
              <w:t>"tasaarvestuskokkulepet sisaldav leping" või "tasaarvestuskokkuleppe aluseks olev leping"</w:t>
            </w:r>
            <w:r>
              <w:rPr>
                <w:rFonts w:ascii="Arial" w:hAnsi="Arial" w:cs="Arial"/>
              </w:rPr>
              <w:t>, mis peaks üldisemalt hõlmama ka</w:t>
            </w:r>
            <w:r w:rsidRPr="0073742D">
              <w:rPr>
                <w:rFonts w:ascii="Arial" w:hAnsi="Arial" w:cs="Arial"/>
              </w:rPr>
              <w:t xml:space="preserve"> </w:t>
            </w:r>
            <w:r>
              <w:rPr>
                <w:rFonts w:ascii="Arial" w:hAnsi="Arial" w:cs="Arial"/>
              </w:rPr>
              <w:t xml:space="preserve">erinevaid </w:t>
            </w:r>
            <w:r w:rsidRPr="0073742D">
              <w:rPr>
                <w:rFonts w:ascii="Arial" w:hAnsi="Arial" w:cs="Arial"/>
              </w:rPr>
              <w:t>„finantstehingute raamleping</w:t>
            </w:r>
            <w:r>
              <w:rPr>
                <w:rFonts w:ascii="Arial" w:hAnsi="Arial" w:cs="Arial"/>
              </w:rPr>
              <w:t>uid</w:t>
            </w:r>
            <w:r w:rsidRPr="0073742D">
              <w:rPr>
                <w:rFonts w:ascii="Arial" w:hAnsi="Arial" w:cs="Arial"/>
              </w:rPr>
              <w:t>“</w:t>
            </w:r>
            <w:r>
              <w:rPr>
                <w:rFonts w:ascii="Arial" w:hAnsi="Arial" w:cs="Arial"/>
              </w:rPr>
              <w:t>, nagu ISDA, ISLA jne</w:t>
            </w:r>
            <w:r w:rsidRPr="0073742D">
              <w:rPr>
                <w:rFonts w:ascii="Arial" w:hAnsi="Arial" w:cs="Arial"/>
              </w:rPr>
              <w:t>. T</w:t>
            </w:r>
            <w:r>
              <w:rPr>
                <w:rFonts w:ascii="Arial" w:hAnsi="Arial" w:cs="Arial"/>
              </w:rPr>
              <w:t>ermin „t</w:t>
            </w:r>
            <w:r w:rsidRPr="0073742D">
              <w:rPr>
                <w:rFonts w:ascii="Arial" w:hAnsi="Arial" w:cs="Arial"/>
              </w:rPr>
              <w:t>asaarvestuskokkulepe</w:t>
            </w:r>
            <w:r>
              <w:rPr>
                <w:rFonts w:ascii="Arial" w:hAnsi="Arial" w:cs="Arial"/>
              </w:rPr>
              <w:t>“</w:t>
            </w:r>
            <w:r w:rsidRPr="0073742D">
              <w:rPr>
                <w:rFonts w:ascii="Arial" w:hAnsi="Arial" w:cs="Arial"/>
              </w:rPr>
              <w:t xml:space="preserve"> osutab konkreetsele nõuete täitmisega seotud tehingule, mille sisuks on nõuete tasaarvestus, kuid antud regulatsiooni kontekstis on sellis</w:t>
            </w:r>
            <w:r>
              <w:rPr>
                <w:rFonts w:ascii="Arial" w:hAnsi="Arial" w:cs="Arial"/>
              </w:rPr>
              <w:t>t</w:t>
            </w:r>
            <w:r w:rsidRPr="0073742D">
              <w:rPr>
                <w:rFonts w:ascii="Arial" w:hAnsi="Arial" w:cs="Arial"/>
              </w:rPr>
              <w:t>e kokkulep</w:t>
            </w:r>
            <w:r>
              <w:rPr>
                <w:rFonts w:ascii="Arial" w:hAnsi="Arial" w:cs="Arial"/>
              </w:rPr>
              <w:t>ete reguleerimine, mille</w:t>
            </w:r>
            <w:r w:rsidRPr="0073742D">
              <w:rPr>
                <w:rFonts w:ascii="Arial" w:hAnsi="Arial" w:cs="Arial"/>
              </w:rPr>
              <w:t xml:space="preserve"> sisuks </w:t>
            </w:r>
            <w:r>
              <w:rPr>
                <w:rFonts w:ascii="Arial" w:hAnsi="Arial" w:cs="Arial"/>
              </w:rPr>
              <w:t xml:space="preserve">on lisaks nõuete tasaarvestusele </w:t>
            </w:r>
            <w:r w:rsidRPr="0073742D">
              <w:rPr>
                <w:rFonts w:ascii="Arial" w:hAnsi="Arial" w:cs="Arial"/>
              </w:rPr>
              <w:t xml:space="preserve">muuhulgas ka </w:t>
            </w:r>
            <w:r>
              <w:rPr>
                <w:rFonts w:ascii="Arial" w:hAnsi="Arial" w:cs="Arial"/>
              </w:rPr>
              <w:t xml:space="preserve">kohustutse </w:t>
            </w:r>
            <w:r w:rsidRPr="0073742D">
              <w:rPr>
                <w:rFonts w:ascii="Arial" w:hAnsi="Arial" w:cs="Arial"/>
              </w:rPr>
              <w:t xml:space="preserve">kiirendamine ja lõpetamine. Seetõttu on täpsem osundada </w:t>
            </w:r>
            <w:r>
              <w:rPr>
                <w:rFonts w:ascii="Arial" w:hAnsi="Arial" w:cs="Arial"/>
              </w:rPr>
              <w:t>tasaarvestuskokkulepet sisaldavale (</w:t>
            </w:r>
            <w:r w:rsidRPr="0073742D">
              <w:rPr>
                <w:rFonts w:ascii="Arial" w:hAnsi="Arial" w:cs="Arial"/>
              </w:rPr>
              <w:t>raam</w:t>
            </w:r>
            <w:r>
              <w:rPr>
                <w:rFonts w:ascii="Arial" w:hAnsi="Arial" w:cs="Arial"/>
              </w:rPr>
              <w:t>)</w:t>
            </w:r>
            <w:r w:rsidRPr="0073742D">
              <w:rPr>
                <w:rFonts w:ascii="Arial" w:hAnsi="Arial" w:cs="Arial"/>
              </w:rPr>
              <w:t>lepingule, mille sisuks on muuhulgas lepingu alla kuuluvate kvalifitseeruvate finantstehingute lõpetamisel toimuv tasaarvestus (§ 229</w:t>
            </w:r>
            <w:r w:rsidRPr="0073742D">
              <w:rPr>
                <w:rFonts w:ascii="Arial" w:hAnsi="Arial" w:cs="Arial"/>
                <w:vertAlign w:val="superscript"/>
              </w:rPr>
              <w:t>2</w:t>
            </w:r>
            <w:r w:rsidRPr="0073742D">
              <w:rPr>
                <w:rFonts w:ascii="Arial" w:hAnsi="Arial" w:cs="Arial"/>
              </w:rPr>
              <w:t>) ja mille sisuks on omakorda § 229</w:t>
            </w:r>
            <w:r w:rsidRPr="0073742D">
              <w:rPr>
                <w:rFonts w:ascii="Arial" w:hAnsi="Arial" w:cs="Arial"/>
                <w:vertAlign w:val="superscript"/>
              </w:rPr>
              <w:t>2</w:t>
            </w:r>
            <w:r w:rsidRPr="0073742D">
              <w:rPr>
                <w:rFonts w:ascii="Arial" w:hAnsi="Arial" w:cs="Arial"/>
              </w:rPr>
              <w:t xml:space="preserve"> lõikes 1 nimetatud tegevused või tagajärjed. Eelnõus tuleks üldisemalt läbi mõelda ja ühtlustada terminite „tasaarvestuskokkulepe“ ja „kvalifitseeruv finantstehing“ </w:t>
            </w:r>
            <w:r w:rsidRPr="0073742D">
              <w:rPr>
                <w:rFonts w:ascii="Arial" w:hAnsi="Arial" w:cs="Arial"/>
              </w:rPr>
              <w:lastRenderedPageBreak/>
              <w:t>kasutamine. Nagu juba viidatud, siis oleks korrektne käsitleda tasaarvestuskokkulepet kvalifitseeruva finantstehingu osana, mitte aga kasutada antud terminit kohati eraldatuna „kvalifitseeruvast finantstehingust“ või selle alternatiivi või täiesti iseseisva kategooriana (vt. nt allpool ka kommentaari p-s 1.4).</w:t>
            </w:r>
          </w:p>
          <w:p w14:paraId="294006EB" w14:textId="77777777" w:rsidR="00C902B4" w:rsidRDefault="00C902B4" w:rsidP="00C902B4">
            <w:pPr>
              <w:pStyle w:val="ListParagraph"/>
              <w:spacing w:after="120" w:line="240" w:lineRule="auto"/>
              <w:rPr>
                <w:rFonts w:ascii="Arial" w:hAnsi="Arial" w:cs="Arial"/>
              </w:rPr>
            </w:pPr>
          </w:p>
          <w:p w14:paraId="23B112BC" w14:textId="315F1F49" w:rsidR="0073742D" w:rsidRDefault="0073742D" w:rsidP="0073742D">
            <w:pPr>
              <w:pStyle w:val="ListParagraph"/>
              <w:numPr>
                <w:ilvl w:val="0"/>
                <w:numId w:val="3"/>
              </w:numPr>
              <w:spacing w:after="120" w:line="240" w:lineRule="auto"/>
              <w:rPr>
                <w:rFonts w:ascii="Arial" w:hAnsi="Arial" w:cs="Arial"/>
              </w:rPr>
            </w:pPr>
            <w:r w:rsidRPr="00187608">
              <w:rPr>
                <w:rFonts w:ascii="Arial" w:hAnsi="Arial" w:cs="Arial"/>
              </w:rPr>
              <w:t>Ettepanek on kasutada läbivalt mõiste ’osapool’ asemel mõistet ’isik’. ’Osapool’ ei ole võlaõiguses kasutatav mõiste ning arvestades selle kasutust eelnõu sõnastuses, siis näib kohasem kasutada selle asemel sõna ’isik’.</w:t>
            </w:r>
          </w:p>
          <w:p w14:paraId="330C9291" w14:textId="77777777" w:rsidR="00C902B4" w:rsidRPr="00C902B4" w:rsidRDefault="00C902B4" w:rsidP="00C902B4">
            <w:pPr>
              <w:pStyle w:val="ListParagraph"/>
              <w:rPr>
                <w:rFonts w:ascii="Arial" w:hAnsi="Arial" w:cs="Arial"/>
              </w:rPr>
            </w:pPr>
          </w:p>
          <w:p w14:paraId="5B287203" w14:textId="77777777" w:rsidR="0073742D" w:rsidRDefault="0073742D" w:rsidP="0073742D">
            <w:pPr>
              <w:pStyle w:val="ListParagraph"/>
              <w:numPr>
                <w:ilvl w:val="0"/>
                <w:numId w:val="3"/>
              </w:numPr>
              <w:spacing w:after="120" w:line="240" w:lineRule="auto"/>
              <w:rPr>
                <w:rFonts w:ascii="Arial" w:hAnsi="Arial" w:cs="Arial"/>
              </w:rPr>
            </w:pPr>
            <w:r w:rsidRPr="00187608">
              <w:rPr>
                <w:rFonts w:ascii="Arial" w:hAnsi="Arial" w:cs="Arial"/>
              </w:rPr>
              <w:t>Ettepanek kustutada § 229</w:t>
            </w:r>
            <w:r w:rsidRPr="00187608">
              <w:rPr>
                <w:rFonts w:ascii="Arial" w:hAnsi="Arial" w:cs="Arial"/>
                <w:vertAlign w:val="superscript"/>
              </w:rPr>
              <w:t>1</w:t>
            </w:r>
            <w:r w:rsidRPr="00187608">
              <w:rPr>
                <w:rFonts w:ascii="Arial" w:hAnsi="Arial" w:cs="Arial"/>
              </w:rPr>
              <w:t xml:space="preserve"> lõike 1 lõpus sulgudes olev lõpetamisel toimuva tasaarvestuse mõiste, kuna § 229</w:t>
            </w:r>
            <w:r w:rsidRPr="00187608">
              <w:rPr>
                <w:rFonts w:ascii="Arial" w:hAnsi="Arial" w:cs="Arial"/>
                <w:vertAlign w:val="superscript"/>
              </w:rPr>
              <w:t>2</w:t>
            </w:r>
            <w:r w:rsidRPr="00187608">
              <w:rPr>
                <w:rFonts w:ascii="Arial" w:hAnsi="Arial" w:cs="Arial"/>
              </w:rPr>
              <w:t xml:space="preserve"> lg 1 avab selle uuesti ja sisuliselt pole § 229</w:t>
            </w:r>
            <w:r w:rsidRPr="00187608">
              <w:rPr>
                <w:rFonts w:ascii="Arial" w:hAnsi="Arial" w:cs="Arial"/>
                <w:vertAlign w:val="superscript"/>
              </w:rPr>
              <w:t>1</w:t>
            </w:r>
            <w:r w:rsidRPr="00187608">
              <w:rPr>
                <w:rFonts w:ascii="Arial" w:hAnsi="Arial" w:cs="Arial"/>
              </w:rPr>
              <w:t xml:space="preserve"> lõike 1 mõistel tähendust. Pigem tekitab see segadust.</w:t>
            </w:r>
          </w:p>
          <w:p w14:paraId="3BA19A5D" w14:textId="77777777" w:rsidR="00C902B4" w:rsidRPr="00C902B4" w:rsidRDefault="00C902B4" w:rsidP="00C902B4">
            <w:pPr>
              <w:pStyle w:val="ListParagraph"/>
              <w:rPr>
                <w:rFonts w:ascii="Arial" w:hAnsi="Arial" w:cs="Arial"/>
              </w:rPr>
            </w:pPr>
          </w:p>
          <w:p w14:paraId="4A18FCA8" w14:textId="7D807D18" w:rsidR="00C902B4" w:rsidRDefault="00C902B4" w:rsidP="0073742D">
            <w:pPr>
              <w:pStyle w:val="ListParagraph"/>
              <w:numPr>
                <w:ilvl w:val="0"/>
                <w:numId w:val="3"/>
              </w:numPr>
              <w:spacing w:after="120" w:line="240" w:lineRule="auto"/>
              <w:rPr>
                <w:rFonts w:ascii="Arial" w:hAnsi="Arial" w:cs="Arial"/>
              </w:rPr>
            </w:pPr>
            <w:r>
              <w:rPr>
                <w:rFonts w:ascii="Arial" w:hAnsi="Arial" w:cs="Arial"/>
              </w:rPr>
              <w:t xml:space="preserve">Soovitame järjepidevuse ja jälgitavuse parandamiseks kaaluda </w:t>
            </w:r>
            <w:r w:rsidRPr="00187608">
              <w:rPr>
                <w:rFonts w:ascii="Arial" w:hAnsi="Arial" w:cs="Arial"/>
              </w:rPr>
              <w:t>§ 229</w:t>
            </w:r>
            <w:r w:rsidRPr="00187608">
              <w:rPr>
                <w:rFonts w:ascii="Arial" w:hAnsi="Arial" w:cs="Arial"/>
                <w:vertAlign w:val="superscript"/>
              </w:rPr>
              <w:t>1</w:t>
            </w:r>
            <w:r w:rsidRPr="00187608">
              <w:rPr>
                <w:rFonts w:ascii="Arial" w:hAnsi="Arial" w:cs="Arial"/>
              </w:rPr>
              <w:t xml:space="preserve"> lõike 1 </w:t>
            </w:r>
            <w:r>
              <w:rPr>
                <w:rFonts w:ascii="Arial" w:hAnsi="Arial" w:cs="Arial"/>
              </w:rPr>
              <w:t>lõpus oleva väljendi „</w:t>
            </w:r>
            <w:r w:rsidRPr="00C902B4">
              <w:rPr>
                <w:rFonts w:ascii="Arial" w:hAnsi="Arial" w:cs="Arial"/>
              </w:rPr>
              <w:t>mis võib olla tingitud ühe poole tahteavaldusest teise poole kohustuse rikkumise või muu tasaarvestuskokkuleppe lõpetamise aluse esinemise korral või mis rakendub tasaarvestuskokkuleppes toodud juhul</w:t>
            </w:r>
            <w:r>
              <w:rPr>
                <w:rFonts w:ascii="Arial" w:hAnsi="Arial" w:cs="Arial"/>
              </w:rPr>
              <w:t xml:space="preserve">“ </w:t>
            </w:r>
            <w:r w:rsidR="00D3219E">
              <w:rPr>
                <w:rFonts w:ascii="Arial" w:hAnsi="Arial" w:cs="Arial"/>
              </w:rPr>
              <w:t xml:space="preserve">eraldi „lõpetamist tingiva juhtumina“ defineerimist sarnaselt </w:t>
            </w:r>
            <w:r w:rsidR="00D3219E" w:rsidRPr="00187608">
              <w:rPr>
                <w:rFonts w:ascii="Arial" w:hAnsi="Arial" w:cs="Arial"/>
              </w:rPr>
              <w:t>229</w:t>
            </w:r>
            <w:r w:rsidR="00D3219E" w:rsidRPr="00187608">
              <w:rPr>
                <w:rFonts w:ascii="Arial" w:hAnsi="Arial" w:cs="Arial"/>
                <w:vertAlign w:val="superscript"/>
              </w:rPr>
              <w:t>1</w:t>
            </w:r>
            <w:r w:rsidR="00D3219E" w:rsidRPr="00187608">
              <w:rPr>
                <w:rFonts w:ascii="Arial" w:hAnsi="Arial" w:cs="Arial"/>
              </w:rPr>
              <w:t xml:space="preserve"> lõike</w:t>
            </w:r>
            <w:r w:rsidR="00D3219E">
              <w:rPr>
                <w:rFonts w:ascii="Arial" w:hAnsi="Arial" w:cs="Arial"/>
              </w:rPr>
              <w:t>s 3 toodule.</w:t>
            </w:r>
          </w:p>
          <w:p w14:paraId="15E80E78" w14:textId="77777777" w:rsidR="0073742D" w:rsidRPr="00C902B4" w:rsidRDefault="0073742D" w:rsidP="00C902B4">
            <w:pPr>
              <w:spacing w:after="120" w:line="240" w:lineRule="auto"/>
              <w:rPr>
                <w:rFonts w:ascii="Arial" w:hAnsi="Arial" w:cs="Arial"/>
              </w:rPr>
            </w:pPr>
          </w:p>
        </w:tc>
      </w:tr>
      <w:tr w:rsidR="0073742D" w:rsidRPr="00187608" w14:paraId="692F3A5E" w14:textId="77777777" w:rsidTr="00BA5E45">
        <w:tc>
          <w:tcPr>
            <w:tcW w:w="2362" w:type="dxa"/>
          </w:tcPr>
          <w:p w14:paraId="32F3288A" w14:textId="77777777" w:rsidR="002358AE" w:rsidRPr="002358AE" w:rsidRDefault="002358AE" w:rsidP="002358AE">
            <w:pPr>
              <w:spacing w:after="120" w:line="240" w:lineRule="auto"/>
              <w:rPr>
                <w:rFonts w:ascii="Arial" w:hAnsi="Arial" w:cs="Arial"/>
              </w:rPr>
            </w:pPr>
            <w:r w:rsidRPr="002358AE">
              <w:rPr>
                <w:rFonts w:ascii="Arial" w:hAnsi="Arial" w:cs="Arial"/>
              </w:rPr>
              <w:lastRenderedPageBreak/>
              <w:t>Eelnõu § 1 p 2 - § 229</w:t>
            </w:r>
            <w:r w:rsidRPr="002358AE">
              <w:rPr>
                <w:rFonts w:ascii="Arial" w:hAnsi="Arial" w:cs="Arial"/>
                <w:vertAlign w:val="superscript"/>
              </w:rPr>
              <w:t>2</w:t>
            </w:r>
            <w:r w:rsidRPr="002358AE">
              <w:rPr>
                <w:rFonts w:ascii="Arial" w:hAnsi="Arial" w:cs="Arial"/>
              </w:rPr>
              <w:t xml:space="preserve"> – lõpetamisel toimuv tasaarvestus</w:t>
            </w:r>
          </w:p>
          <w:p w14:paraId="7C6741CF" w14:textId="77777777" w:rsidR="0073742D" w:rsidRPr="00187608" w:rsidRDefault="0073742D" w:rsidP="00D15A6C">
            <w:pPr>
              <w:pStyle w:val="SLONormal"/>
              <w:spacing w:before="0"/>
              <w:rPr>
                <w:rFonts w:ascii="Arial" w:hAnsi="Arial" w:cs="Arial"/>
                <w:lang w:val="et-EE"/>
              </w:rPr>
            </w:pPr>
          </w:p>
        </w:tc>
        <w:tc>
          <w:tcPr>
            <w:tcW w:w="6700" w:type="dxa"/>
          </w:tcPr>
          <w:p w14:paraId="38D14130" w14:textId="7BF30203" w:rsidR="002358AE" w:rsidRDefault="002358AE" w:rsidP="002358AE">
            <w:pPr>
              <w:spacing w:after="120" w:line="240" w:lineRule="auto"/>
              <w:rPr>
                <w:rFonts w:ascii="Arial" w:hAnsi="Arial" w:cs="Arial"/>
              </w:rPr>
            </w:pPr>
            <w:r>
              <w:rPr>
                <w:rFonts w:ascii="Arial" w:hAnsi="Arial" w:cs="Arial"/>
              </w:rPr>
              <w:t xml:space="preserve">Soovitame kaaluda, kas on põhjendatud mõiste „lõpetamisel toimuv tasaarvestus“ eraldi defineerimine kahe erineva </w:t>
            </w:r>
            <w:r w:rsidR="000210A7">
              <w:rPr>
                <w:rFonts w:ascii="Arial" w:hAnsi="Arial" w:cs="Arial"/>
              </w:rPr>
              <w:t xml:space="preserve">(kuid sisult paljuski kattuva) </w:t>
            </w:r>
            <w:r>
              <w:rPr>
                <w:rFonts w:ascii="Arial" w:hAnsi="Arial" w:cs="Arial"/>
              </w:rPr>
              <w:t xml:space="preserve">lõike all või oleks mõistlikum </w:t>
            </w:r>
            <w:r w:rsidR="000210A7">
              <w:rPr>
                <w:rFonts w:ascii="Arial" w:hAnsi="Arial" w:cs="Arial"/>
              </w:rPr>
              <w:t xml:space="preserve">ja selgem </w:t>
            </w:r>
            <w:r>
              <w:rPr>
                <w:rFonts w:ascii="Arial" w:hAnsi="Arial" w:cs="Arial"/>
              </w:rPr>
              <w:t>vastava definitsiooni agregeerimine ühe lõike alla</w:t>
            </w:r>
            <w:r w:rsidR="000210A7">
              <w:rPr>
                <w:rFonts w:ascii="Arial" w:hAnsi="Arial" w:cs="Arial"/>
              </w:rPr>
              <w:t>.</w:t>
            </w:r>
          </w:p>
          <w:p w14:paraId="37893CE0" w14:textId="7B38458E" w:rsidR="002358AE" w:rsidRPr="00187608" w:rsidRDefault="002358AE" w:rsidP="002358AE">
            <w:pPr>
              <w:spacing w:after="120" w:line="240" w:lineRule="auto"/>
              <w:rPr>
                <w:rFonts w:ascii="Arial" w:hAnsi="Arial" w:cs="Arial"/>
              </w:rPr>
            </w:pPr>
            <w:r w:rsidRPr="00187608">
              <w:rPr>
                <w:rFonts w:ascii="Arial" w:hAnsi="Arial" w:cs="Arial"/>
              </w:rPr>
              <w:t xml:space="preserve">Ettepanek asendada sissejuhatava lause lõpus sõna ’tagajärjel’ sõnaga ’alusel’, kuna lause räägib kokkuleppe tingimuste kohaldamisest, mille alusel kas saabuvad õiguslikud tagajärjed või tehakse teatud toiminguid. Sellest tulenevalt ka punkti 1 sõnastuses kohustused </w:t>
            </w:r>
            <w:r w:rsidRPr="00187608">
              <w:rPr>
                <w:rFonts w:ascii="Arial" w:hAnsi="Arial" w:cs="Arial"/>
                <w:i/>
                <w:iCs/>
              </w:rPr>
              <w:t>’lõppevad või need loetakse kiirendatuks’</w:t>
            </w:r>
            <w:r w:rsidRPr="00187608">
              <w:rPr>
                <w:rFonts w:ascii="Arial" w:hAnsi="Arial" w:cs="Arial"/>
              </w:rPr>
              <w:t>.</w:t>
            </w:r>
          </w:p>
          <w:p w14:paraId="20549D9C" w14:textId="77777777" w:rsidR="0073742D" w:rsidRPr="00187608" w:rsidRDefault="0073742D" w:rsidP="00D15A6C">
            <w:pPr>
              <w:pStyle w:val="SLONormal"/>
              <w:spacing w:before="0"/>
              <w:rPr>
                <w:rFonts w:ascii="Arial" w:hAnsi="Arial" w:cs="Arial"/>
                <w:lang w:val="et-EE"/>
              </w:rPr>
            </w:pPr>
          </w:p>
        </w:tc>
      </w:tr>
      <w:tr w:rsidR="0073742D" w:rsidRPr="00187608" w14:paraId="0772AC6D" w14:textId="77777777" w:rsidTr="00BA5E45">
        <w:tc>
          <w:tcPr>
            <w:tcW w:w="2362" w:type="dxa"/>
          </w:tcPr>
          <w:p w14:paraId="53DF1A0A" w14:textId="4A109B4E" w:rsidR="0073742D" w:rsidRPr="00187608" w:rsidRDefault="00E7500B" w:rsidP="00D15A6C">
            <w:pPr>
              <w:pStyle w:val="SLONormal"/>
              <w:spacing w:before="0"/>
              <w:rPr>
                <w:rFonts w:ascii="Arial" w:hAnsi="Arial" w:cs="Arial"/>
                <w:lang w:val="et-EE"/>
              </w:rPr>
            </w:pPr>
            <w:r w:rsidRPr="00E7500B">
              <w:rPr>
                <w:rFonts w:ascii="Arial" w:hAnsi="Arial" w:cs="Arial"/>
                <w:lang w:val="et-EE"/>
              </w:rPr>
              <w:t>Eelnõu § 1 p 2 - § 229</w:t>
            </w:r>
            <w:r w:rsidRPr="00E7500B">
              <w:rPr>
                <w:rFonts w:ascii="Arial" w:hAnsi="Arial" w:cs="Arial"/>
                <w:vertAlign w:val="superscript"/>
                <w:lang w:val="et-EE"/>
              </w:rPr>
              <w:t>3</w:t>
            </w:r>
            <w:r w:rsidRPr="00E7500B">
              <w:rPr>
                <w:rFonts w:ascii="Arial" w:hAnsi="Arial" w:cs="Arial"/>
                <w:lang w:val="et-EE"/>
              </w:rPr>
              <w:t xml:space="preserve"> – kvalifitseeruv finantstehing</w:t>
            </w:r>
          </w:p>
        </w:tc>
        <w:tc>
          <w:tcPr>
            <w:tcW w:w="6700" w:type="dxa"/>
          </w:tcPr>
          <w:p w14:paraId="30F6CF12" w14:textId="601EA6D6" w:rsidR="0073742D" w:rsidRPr="00187608" w:rsidRDefault="00E7500B" w:rsidP="00392222">
            <w:pPr>
              <w:spacing w:after="120" w:line="240" w:lineRule="auto"/>
              <w:rPr>
                <w:rFonts w:ascii="Arial" w:hAnsi="Arial" w:cs="Arial"/>
              </w:rPr>
            </w:pPr>
            <w:r w:rsidRPr="00187608">
              <w:rPr>
                <w:rFonts w:ascii="Arial" w:hAnsi="Arial" w:cs="Arial"/>
              </w:rPr>
              <w:t>§ 229</w:t>
            </w:r>
            <w:r w:rsidRPr="00187608">
              <w:rPr>
                <w:rFonts w:ascii="Arial" w:hAnsi="Arial" w:cs="Arial"/>
                <w:vertAlign w:val="superscript"/>
              </w:rPr>
              <w:t>3</w:t>
            </w:r>
            <w:r w:rsidRPr="00187608">
              <w:rPr>
                <w:rFonts w:ascii="Arial" w:hAnsi="Arial" w:cs="Arial"/>
              </w:rPr>
              <w:t xml:space="preserve"> lg 1 punktis 1 on nimetatud kvalifitseeruva tehinguna tuletisväärtpaberi omandamise tehing, kuid katmata on tuletisväärtpaberi sisuks olev tehing ise. </w:t>
            </w:r>
            <w:r>
              <w:rPr>
                <w:rFonts w:ascii="Arial" w:hAnsi="Arial" w:cs="Arial"/>
              </w:rPr>
              <w:t>Tuleks kaaluda, kas s</w:t>
            </w:r>
            <w:r w:rsidRPr="00187608">
              <w:rPr>
                <w:rFonts w:ascii="Arial" w:hAnsi="Arial" w:cs="Arial"/>
              </w:rPr>
              <w:t xml:space="preserve">iin </w:t>
            </w:r>
            <w:r>
              <w:rPr>
                <w:rFonts w:ascii="Arial" w:hAnsi="Arial" w:cs="Arial"/>
              </w:rPr>
              <w:t xml:space="preserve">ei peaks </w:t>
            </w:r>
            <w:r w:rsidRPr="00187608">
              <w:rPr>
                <w:rFonts w:ascii="Arial" w:hAnsi="Arial" w:cs="Arial"/>
              </w:rPr>
              <w:t xml:space="preserve">eesmärgiks ikkagi </w:t>
            </w:r>
            <w:r>
              <w:rPr>
                <w:rFonts w:ascii="Arial" w:hAnsi="Arial" w:cs="Arial"/>
              </w:rPr>
              <w:t xml:space="preserve">olema </w:t>
            </w:r>
            <w:r w:rsidRPr="00187608">
              <w:rPr>
                <w:rFonts w:ascii="Arial" w:hAnsi="Arial" w:cs="Arial"/>
              </w:rPr>
              <w:t xml:space="preserve">katta kvalifitseeruva tehinguna tuletisväärtpaber ise </w:t>
            </w:r>
            <w:r>
              <w:rPr>
                <w:rFonts w:ascii="Arial" w:hAnsi="Arial" w:cs="Arial"/>
              </w:rPr>
              <w:t xml:space="preserve">(VPTS § 2 lg 3 tähenduses) </w:t>
            </w:r>
            <w:r w:rsidRPr="00187608">
              <w:rPr>
                <w:rFonts w:ascii="Arial" w:hAnsi="Arial" w:cs="Arial"/>
              </w:rPr>
              <w:t xml:space="preserve">ning mitte </w:t>
            </w:r>
            <w:r>
              <w:rPr>
                <w:rFonts w:ascii="Arial" w:hAnsi="Arial" w:cs="Arial"/>
              </w:rPr>
              <w:t xml:space="preserve">üksnes </w:t>
            </w:r>
            <w:r w:rsidRPr="00187608">
              <w:rPr>
                <w:rFonts w:ascii="Arial" w:hAnsi="Arial" w:cs="Arial"/>
              </w:rPr>
              <w:t xml:space="preserve">selle </w:t>
            </w:r>
            <w:r>
              <w:rPr>
                <w:rFonts w:ascii="Arial" w:hAnsi="Arial" w:cs="Arial"/>
              </w:rPr>
              <w:t>omandamine</w:t>
            </w:r>
            <w:r w:rsidRPr="00187608">
              <w:rPr>
                <w:rFonts w:ascii="Arial" w:hAnsi="Arial" w:cs="Arial"/>
              </w:rPr>
              <w:t xml:space="preserve">. Tundub, et ka </w:t>
            </w:r>
            <w:proofErr w:type="spellStart"/>
            <w:r w:rsidRPr="00187608">
              <w:rPr>
                <w:rFonts w:ascii="Arial" w:hAnsi="Arial" w:cs="Arial"/>
              </w:rPr>
              <w:t>PankrS</w:t>
            </w:r>
            <w:proofErr w:type="spellEnd"/>
            <w:r w:rsidRPr="00187608">
              <w:rPr>
                <w:rFonts w:ascii="Arial" w:hAnsi="Arial" w:cs="Arial"/>
              </w:rPr>
              <w:t xml:space="preserve"> § 48 lg 2 on selles osas eksliku sõnastusega.</w:t>
            </w:r>
          </w:p>
        </w:tc>
      </w:tr>
      <w:tr w:rsidR="00E7500B" w:rsidRPr="00187608" w14:paraId="1AF387FC" w14:textId="77777777" w:rsidTr="00BA5E45">
        <w:tc>
          <w:tcPr>
            <w:tcW w:w="2362" w:type="dxa"/>
          </w:tcPr>
          <w:p w14:paraId="3C12D457" w14:textId="77777777" w:rsidR="00E7500B" w:rsidRPr="00E7500B" w:rsidRDefault="00E7500B" w:rsidP="00E7500B">
            <w:pPr>
              <w:spacing w:after="120" w:line="240" w:lineRule="auto"/>
              <w:rPr>
                <w:rFonts w:ascii="Arial" w:hAnsi="Arial" w:cs="Arial"/>
              </w:rPr>
            </w:pPr>
            <w:r w:rsidRPr="00E7500B">
              <w:rPr>
                <w:rFonts w:ascii="Arial" w:hAnsi="Arial" w:cs="Arial"/>
              </w:rPr>
              <w:t>Eelnõu § 1 p 2 - § 229</w:t>
            </w:r>
            <w:r w:rsidRPr="00E7500B">
              <w:rPr>
                <w:rFonts w:ascii="Arial" w:hAnsi="Arial" w:cs="Arial"/>
                <w:vertAlign w:val="superscript"/>
              </w:rPr>
              <w:t xml:space="preserve">4 </w:t>
            </w:r>
            <w:r w:rsidRPr="00E7500B">
              <w:rPr>
                <w:rFonts w:ascii="Arial" w:hAnsi="Arial" w:cs="Arial"/>
              </w:rPr>
              <w:t>– tasaarvestuskokkuleppe mõiste</w:t>
            </w:r>
          </w:p>
          <w:p w14:paraId="3116D08F" w14:textId="77777777" w:rsidR="00E7500B" w:rsidRPr="00E7500B" w:rsidRDefault="00E7500B" w:rsidP="00D15A6C">
            <w:pPr>
              <w:pStyle w:val="SLONormal"/>
              <w:spacing w:before="0"/>
              <w:rPr>
                <w:rFonts w:ascii="Arial" w:hAnsi="Arial" w:cs="Arial"/>
                <w:lang w:val="et-EE"/>
              </w:rPr>
            </w:pPr>
          </w:p>
        </w:tc>
        <w:tc>
          <w:tcPr>
            <w:tcW w:w="6700" w:type="dxa"/>
          </w:tcPr>
          <w:p w14:paraId="107E903F" w14:textId="77777777" w:rsidR="00E7500B" w:rsidRPr="00187608" w:rsidRDefault="00E7500B" w:rsidP="00E7500B">
            <w:pPr>
              <w:spacing w:after="120" w:line="240" w:lineRule="auto"/>
              <w:rPr>
                <w:rFonts w:ascii="Arial" w:hAnsi="Arial" w:cs="Arial"/>
              </w:rPr>
            </w:pPr>
            <w:r w:rsidRPr="00187608">
              <w:rPr>
                <w:rFonts w:ascii="Arial" w:hAnsi="Arial" w:cs="Arial"/>
              </w:rPr>
              <w:t>Ettepanek on lisada lõikesse 1 otsesõnu viide ka kvalifitseeruvale finantstehingule (’</w:t>
            </w:r>
            <w:r w:rsidRPr="00187608">
              <w:rPr>
                <w:rFonts w:ascii="Arial" w:hAnsi="Arial" w:cs="Arial"/>
                <w:i/>
                <w:iCs/>
              </w:rPr>
              <w:t xml:space="preserve">..., mille üheks pooleks on kvalifitseeruv isik ning milles on lepitud kokku </w:t>
            </w:r>
            <w:r w:rsidRPr="00187608">
              <w:rPr>
                <w:rFonts w:ascii="Arial" w:hAnsi="Arial" w:cs="Arial"/>
                <w:i/>
                <w:iCs/>
                <w:u w:val="single"/>
              </w:rPr>
              <w:t>kvalifitseeruvate finantstehingute</w:t>
            </w:r>
            <w:r w:rsidRPr="00187608">
              <w:rPr>
                <w:rFonts w:ascii="Arial" w:hAnsi="Arial" w:cs="Arial"/>
                <w:i/>
                <w:iCs/>
              </w:rPr>
              <w:t xml:space="preserve"> lõpetamisel toimuv tasaarvestus.</w:t>
            </w:r>
            <w:r w:rsidRPr="00187608">
              <w:rPr>
                <w:rFonts w:ascii="Arial" w:hAnsi="Arial" w:cs="Arial"/>
              </w:rPr>
              <w:t>’ Vastasel juhul tuleb otsida seost kvalifitseeruvate tehingutega kaudselt teistest normidest.</w:t>
            </w:r>
          </w:p>
          <w:p w14:paraId="015907EC" w14:textId="77777777" w:rsidR="00E06C4A" w:rsidRDefault="00E7500B" w:rsidP="00D15A6C">
            <w:pPr>
              <w:pStyle w:val="SLONormal"/>
              <w:spacing w:before="0"/>
              <w:rPr>
                <w:rFonts w:ascii="Arial" w:hAnsi="Arial" w:cs="Arial"/>
                <w:lang w:val="et-EE"/>
              </w:rPr>
            </w:pPr>
            <w:r>
              <w:rPr>
                <w:rFonts w:ascii="Arial" w:hAnsi="Arial" w:cs="Arial"/>
                <w:lang w:val="et-EE"/>
              </w:rPr>
              <w:t xml:space="preserve">Eespool pakutud terminoloogiliste muudatuste sisse viimisel, mille tulemusel kasutatakse seaduseelnõus  </w:t>
            </w:r>
            <w:r w:rsidR="00E06C4A" w:rsidRPr="00E06C4A">
              <w:rPr>
                <w:rFonts w:ascii="Arial" w:hAnsi="Arial" w:cs="Arial"/>
                <w:lang w:val="et-EE"/>
              </w:rPr>
              <w:t>termini ’tasaarvestuskokkulepe’ asemel nt terminit "tasaarvestuskokkulepet sisaldav leping" või "tasaarvestuskokkuleppe aluseks olev leping", mis peaks üldisemalt hõlmama ka erinevaid „finantstehingute raamlepinguid“,</w:t>
            </w:r>
            <w:r w:rsidR="00E06C4A">
              <w:rPr>
                <w:rFonts w:ascii="Arial" w:hAnsi="Arial" w:cs="Arial"/>
                <w:lang w:val="et-EE"/>
              </w:rPr>
              <w:t xml:space="preserve"> </w:t>
            </w:r>
            <w:r w:rsidR="00193C0C">
              <w:rPr>
                <w:rFonts w:ascii="Arial" w:hAnsi="Arial" w:cs="Arial"/>
                <w:lang w:val="et-EE"/>
              </w:rPr>
              <w:t>tuleks vastavalt kohendada</w:t>
            </w:r>
            <w:r w:rsidR="00E06C4A">
              <w:rPr>
                <w:rFonts w:ascii="Arial" w:hAnsi="Arial" w:cs="Arial"/>
                <w:lang w:val="et-EE"/>
              </w:rPr>
              <w:t xml:space="preserve"> ka </w:t>
            </w:r>
            <w:r w:rsidR="00E06C4A" w:rsidRPr="00E06C4A">
              <w:rPr>
                <w:rFonts w:ascii="Arial" w:hAnsi="Arial" w:cs="Arial"/>
                <w:lang w:val="et-EE"/>
              </w:rPr>
              <w:t>§ 229</w:t>
            </w:r>
            <w:r w:rsidR="00E06C4A" w:rsidRPr="00E06C4A">
              <w:rPr>
                <w:rFonts w:ascii="Arial" w:hAnsi="Arial" w:cs="Arial"/>
                <w:vertAlign w:val="superscript"/>
                <w:lang w:val="et-EE"/>
              </w:rPr>
              <w:t>4</w:t>
            </w:r>
            <w:r w:rsidR="00E06C4A">
              <w:rPr>
                <w:rFonts w:ascii="Arial" w:hAnsi="Arial" w:cs="Arial"/>
                <w:vertAlign w:val="superscript"/>
                <w:lang w:val="et-EE"/>
              </w:rPr>
              <w:t xml:space="preserve"> </w:t>
            </w:r>
            <w:r w:rsidR="00E06C4A">
              <w:rPr>
                <w:rFonts w:ascii="Arial" w:hAnsi="Arial" w:cs="Arial"/>
                <w:lang w:val="et-EE"/>
              </w:rPr>
              <w:t xml:space="preserve">lõikes </w:t>
            </w:r>
            <w:r w:rsidR="00193C0C">
              <w:rPr>
                <w:rFonts w:ascii="Arial" w:hAnsi="Arial" w:cs="Arial"/>
                <w:lang w:val="et-EE"/>
              </w:rPr>
              <w:t>2</w:t>
            </w:r>
            <w:r w:rsidR="00E06C4A">
              <w:rPr>
                <w:rFonts w:ascii="Arial" w:hAnsi="Arial" w:cs="Arial"/>
                <w:lang w:val="et-EE"/>
              </w:rPr>
              <w:t xml:space="preserve"> toodud põhimõt</w:t>
            </w:r>
            <w:r w:rsidR="00193C0C">
              <w:rPr>
                <w:rFonts w:ascii="Arial" w:hAnsi="Arial" w:cs="Arial"/>
                <w:lang w:val="et-EE"/>
              </w:rPr>
              <w:t>et</w:t>
            </w:r>
            <w:r w:rsidR="00E06C4A">
              <w:rPr>
                <w:rFonts w:ascii="Arial" w:hAnsi="Arial" w:cs="Arial"/>
                <w:lang w:val="et-EE"/>
              </w:rPr>
              <w:t>.</w:t>
            </w:r>
          </w:p>
          <w:p w14:paraId="534BB88B" w14:textId="1E9F9ECB" w:rsidR="00193C0C" w:rsidRPr="00E06C4A" w:rsidRDefault="00193C0C" w:rsidP="00D15A6C">
            <w:pPr>
              <w:pStyle w:val="SLONormal"/>
              <w:spacing w:before="0"/>
              <w:rPr>
                <w:rFonts w:ascii="Arial" w:hAnsi="Arial" w:cs="Arial"/>
                <w:lang w:val="et-EE"/>
              </w:rPr>
            </w:pPr>
            <w:r>
              <w:rPr>
                <w:rFonts w:ascii="Arial" w:hAnsi="Arial" w:cs="Arial"/>
                <w:lang w:val="et-EE"/>
              </w:rPr>
              <w:t xml:space="preserve">Lõikes 3 väljendatud </w:t>
            </w:r>
            <w:r w:rsidRPr="00193C0C">
              <w:rPr>
                <w:rFonts w:ascii="Arial" w:hAnsi="Arial" w:cs="Arial"/>
                <w:lang w:val="et-EE"/>
              </w:rPr>
              <w:t xml:space="preserve">„ühe lepingu“ (ingl. k. </w:t>
            </w:r>
            <w:proofErr w:type="spellStart"/>
            <w:r w:rsidRPr="00193C0C">
              <w:rPr>
                <w:rFonts w:ascii="Arial" w:hAnsi="Arial" w:cs="Arial"/>
                <w:i/>
                <w:iCs/>
                <w:lang w:val="et-EE"/>
              </w:rPr>
              <w:t>single</w:t>
            </w:r>
            <w:proofErr w:type="spellEnd"/>
            <w:r w:rsidRPr="00193C0C">
              <w:rPr>
                <w:rFonts w:ascii="Arial" w:hAnsi="Arial" w:cs="Arial"/>
                <w:i/>
                <w:iCs/>
                <w:lang w:val="et-EE"/>
              </w:rPr>
              <w:t xml:space="preserve"> </w:t>
            </w:r>
            <w:proofErr w:type="spellStart"/>
            <w:r w:rsidRPr="00193C0C">
              <w:rPr>
                <w:rFonts w:ascii="Arial" w:hAnsi="Arial" w:cs="Arial"/>
                <w:i/>
                <w:iCs/>
                <w:lang w:val="et-EE"/>
              </w:rPr>
              <w:t>agreement</w:t>
            </w:r>
            <w:proofErr w:type="spellEnd"/>
            <w:r w:rsidRPr="00193C0C">
              <w:rPr>
                <w:rFonts w:ascii="Arial" w:hAnsi="Arial" w:cs="Arial"/>
                <w:lang w:val="et-EE"/>
              </w:rPr>
              <w:t>) kontseptsiooni</w:t>
            </w:r>
            <w:r>
              <w:rPr>
                <w:rFonts w:ascii="Arial" w:hAnsi="Arial" w:cs="Arial"/>
                <w:lang w:val="et-EE"/>
              </w:rPr>
              <w:t>“ tuleks meie hinnangul samuti täpsustada rõhutades, et t</w:t>
            </w:r>
            <w:r w:rsidRPr="00193C0C">
              <w:rPr>
                <w:rFonts w:ascii="Arial" w:hAnsi="Arial" w:cs="Arial"/>
                <w:lang w:val="et-EE"/>
              </w:rPr>
              <w:t xml:space="preserve">asaarvestuskokkulepe ja </w:t>
            </w:r>
            <w:r w:rsidRPr="00392222">
              <w:rPr>
                <w:rFonts w:ascii="Arial" w:hAnsi="Arial" w:cs="Arial"/>
                <w:b/>
                <w:bCs/>
                <w:u w:val="single"/>
                <w:lang w:val="et-EE"/>
              </w:rPr>
              <w:t xml:space="preserve">kõik </w:t>
            </w:r>
            <w:r w:rsidRPr="00392222">
              <w:rPr>
                <w:rFonts w:ascii="Arial" w:hAnsi="Arial" w:cs="Arial"/>
                <w:u w:val="single"/>
                <w:lang w:val="et-EE"/>
              </w:rPr>
              <w:t>kvalifitseeritud finantslepingud</w:t>
            </w:r>
            <w:r w:rsidRPr="00193C0C">
              <w:rPr>
                <w:rFonts w:ascii="Arial" w:hAnsi="Arial" w:cs="Arial"/>
                <w:lang w:val="et-EE"/>
              </w:rPr>
              <w:t xml:space="preserve">, mille </w:t>
            </w:r>
            <w:r w:rsidRPr="00193C0C">
              <w:rPr>
                <w:rFonts w:ascii="Arial" w:hAnsi="Arial" w:cs="Arial"/>
                <w:lang w:val="et-EE"/>
              </w:rPr>
              <w:lastRenderedPageBreak/>
              <w:t xml:space="preserve">suhtes </w:t>
            </w:r>
            <w:r w:rsidR="00392222">
              <w:rPr>
                <w:rFonts w:ascii="Arial" w:hAnsi="Arial" w:cs="Arial"/>
                <w:lang w:val="et-EE"/>
              </w:rPr>
              <w:t xml:space="preserve">vastavat </w:t>
            </w:r>
            <w:r w:rsidRPr="00193C0C">
              <w:rPr>
                <w:rFonts w:ascii="Arial" w:hAnsi="Arial" w:cs="Arial"/>
                <w:lang w:val="et-EE"/>
              </w:rPr>
              <w:t xml:space="preserve">tasaarvestuskokkulepet kohaldatakse, </w:t>
            </w:r>
            <w:r w:rsidR="00392222">
              <w:rPr>
                <w:rFonts w:ascii="Arial" w:hAnsi="Arial" w:cs="Arial"/>
                <w:lang w:val="et-EE"/>
              </w:rPr>
              <w:t xml:space="preserve">moodustavad eelnõus toodud regulatsiooni tähenduses </w:t>
            </w:r>
            <w:r w:rsidRPr="00193C0C">
              <w:rPr>
                <w:rFonts w:ascii="Arial" w:hAnsi="Arial" w:cs="Arial"/>
                <w:lang w:val="et-EE"/>
              </w:rPr>
              <w:t>ühe lepingu</w:t>
            </w:r>
            <w:r w:rsidR="00392222">
              <w:rPr>
                <w:rFonts w:ascii="Arial" w:hAnsi="Arial" w:cs="Arial"/>
                <w:lang w:val="et-EE"/>
              </w:rPr>
              <w:t>.</w:t>
            </w:r>
          </w:p>
        </w:tc>
      </w:tr>
      <w:tr w:rsidR="00E7500B" w:rsidRPr="00187608" w14:paraId="68818FA1" w14:textId="77777777" w:rsidTr="00BA5E45">
        <w:tc>
          <w:tcPr>
            <w:tcW w:w="2362" w:type="dxa"/>
          </w:tcPr>
          <w:p w14:paraId="3B77A1C6" w14:textId="434C7AAD" w:rsidR="00E7500B" w:rsidRPr="00E06C4A" w:rsidRDefault="00E06C4A" w:rsidP="00D15A6C">
            <w:pPr>
              <w:pStyle w:val="SLONormal"/>
              <w:spacing w:before="0"/>
              <w:rPr>
                <w:rFonts w:ascii="Arial" w:hAnsi="Arial" w:cs="Arial"/>
                <w:lang w:val="et-EE"/>
              </w:rPr>
            </w:pPr>
            <w:r w:rsidRPr="00E06C4A">
              <w:rPr>
                <w:rFonts w:ascii="Arial" w:hAnsi="Arial" w:cs="Arial"/>
                <w:lang w:val="et-EE"/>
              </w:rPr>
              <w:lastRenderedPageBreak/>
              <w:t>Eelnõu § 1 p 2 - § 229</w:t>
            </w:r>
            <w:r w:rsidRPr="00E06C4A">
              <w:rPr>
                <w:rFonts w:ascii="Arial" w:hAnsi="Arial" w:cs="Arial"/>
                <w:vertAlign w:val="superscript"/>
                <w:lang w:val="et-EE"/>
              </w:rPr>
              <w:t>2</w:t>
            </w:r>
            <w:r w:rsidRPr="00E06C4A">
              <w:rPr>
                <w:rFonts w:ascii="Arial" w:hAnsi="Arial" w:cs="Arial"/>
                <w:lang w:val="et-EE"/>
              </w:rPr>
              <w:t>, § 229</w:t>
            </w:r>
            <w:r w:rsidRPr="00E06C4A">
              <w:rPr>
                <w:rFonts w:ascii="Arial" w:hAnsi="Arial" w:cs="Arial"/>
                <w:vertAlign w:val="superscript"/>
                <w:lang w:val="et-EE"/>
              </w:rPr>
              <w:t>4</w:t>
            </w:r>
            <w:r w:rsidRPr="00E06C4A">
              <w:rPr>
                <w:rFonts w:ascii="Arial" w:hAnsi="Arial" w:cs="Arial"/>
                <w:lang w:val="et-EE"/>
              </w:rPr>
              <w:t xml:space="preserve"> ja § 229</w:t>
            </w:r>
            <w:r w:rsidRPr="00E06C4A">
              <w:rPr>
                <w:rFonts w:ascii="Arial" w:hAnsi="Arial" w:cs="Arial"/>
                <w:vertAlign w:val="superscript"/>
                <w:lang w:val="et-EE"/>
              </w:rPr>
              <w:t>6</w:t>
            </w:r>
            <w:r w:rsidRPr="00E06C4A">
              <w:rPr>
                <w:rFonts w:ascii="Arial" w:hAnsi="Arial" w:cs="Arial"/>
                <w:lang w:val="et-EE"/>
              </w:rPr>
              <w:t xml:space="preserve"> – tasaarvestuse kohaldamisel finantstehingute lõpetamine (mitte tasaarvestuskokkuleppe lõpetamine)</w:t>
            </w:r>
          </w:p>
        </w:tc>
        <w:tc>
          <w:tcPr>
            <w:tcW w:w="6700" w:type="dxa"/>
          </w:tcPr>
          <w:p w14:paraId="48D597B9" w14:textId="2EA56CAF" w:rsidR="00E06C4A" w:rsidRPr="00187608" w:rsidRDefault="00E06C4A" w:rsidP="00E06C4A">
            <w:pPr>
              <w:spacing w:after="120" w:line="240" w:lineRule="auto"/>
              <w:rPr>
                <w:rFonts w:ascii="Arial" w:hAnsi="Arial" w:cs="Arial"/>
              </w:rPr>
            </w:pPr>
            <w:r w:rsidRPr="00187608">
              <w:rPr>
                <w:rFonts w:ascii="Arial" w:hAnsi="Arial" w:cs="Arial"/>
              </w:rPr>
              <w:t xml:space="preserve">Viidatud normides osundatakse mitmes kohas tasaarvestuskokkuleppe lõpetamisele, kuid lõpetamisel toimuva tasaarvestuse sisuks pole tasaarvestuskokkuleppe lõpetamine, vaid kvalifitseeruvate finantstehingute lõpetamine. Vt ka punkt 3.23 ISDA </w:t>
            </w:r>
            <w:proofErr w:type="spellStart"/>
            <w:r w:rsidRPr="00187608">
              <w:rPr>
                <w:rFonts w:ascii="Arial" w:hAnsi="Arial" w:cs="Arial"/>
              </w:rPr>
              <w:t>Model</w:t>
            </w:r>
            <w:proofErr w:type="spellEnd"/>
            <w:r w:rsidRPr="00187608">
              <w:rPr>
                <w:rFonts w:ascii="Arial" w:hAnsi="Arial" w:cs="Arial"/>
              </w:rPr>
              <w:t xml:space="preserve"> </w:t>
            </w:r>
            <w:proofErr w:type="spellStart"/>
            <w:r w:rsidRPr="00187608">
              <w:rPr>
                <w:rFonts w:ascii="Arial" w:hAnsi="Arial" w:cs="Arial"/>
              </w:rPr>
              <w:t>Act</w:t>
            </w:r>
            <w:proofErr w:type="spellEnd"/>
            <w:r w:rsidRPr="00187608">
              <w:rPr>
                <w:rFonts w:ascii="Arial" w:hAnsi="Arial" w:cs="Arial"/>
              </w:rPr>
              <w:t xml:space="preserve"> dokumendis.</w:t>
            </w:r>
            <w:r>
              <w:rPr>
                <w:rFonts w:ascii="Arial" w:hAnsi="Arial" w:cs="Arial"/>
              </w:rPr>
              <w:t xml:space="preserve"> Vastavad sätted tuleks ümber sõnastada. </w:t>
            </w:r>
            <w:r w:rsidRPr="00187608">
              <w:rPr>
                <w:rFonts w:ascii="Arial" w:hAnsi="Arial" w:cs="Arial"/>
              </w:rPr>
              <w:t>Selles võtmes tuleks vaadata üle ka eelnõu ja selle seletuskirja punktid, mis räägivad raamlepingust ja selle ülesütlemisest (nt lk 26).</w:t>
            </w:r>
          </w:p>
          <w:p w14:paraId="362016AA" w14:textId="1020F3D4" w:rsidR="00137AAA" w:rsidRDefault="00137AAA" w:rsidP="00137AAA">
            <w:pPr>
              <w:spacing w:after="120" w:line="240" w:lineRule="auto"/>
              <w:rPr>
                <w:rFonts w:ascii="Arial" w:hAnsi="Arial" w:cs="Arial"/>
              </w:rPr>
            </w:pPr>
            <w:r w:rsidRPr="00187608">
              <w:rPr>
                <w:rFonts w:ascii="Arial" w:hAnsi="Arial" w:cs="Arial"/>
              </w:rPr>
              <w:t>§ 229</w:t>
            </w:r>
            <w:r w:rsidRPr="00187608">
              <w:rPr>
                <w:rFonts w:ascii="Arial" w:hAnsi="Arial" w:cs="Arial"/>
                <w:vertAlign w:val="superscript"/>
              </w:rPr>
              <w:t xml:space="preserve">6 </w:t>
            </w:r>
            <w:r w:rsidRPr="00187608">
              <w:rPr>
                <w:rFonts w:ascii="Arial" w:hAnsi="Arial" w:cs="Arial"/>
              </w:rPr>
              <w:t xml:space="preserve">lõikes 1 jääb ebaselgeks lause osa </w:t>
            </w:r>
            <w:r w:rsidRPr="00187608">
              <w:rPr>
                <w:rFonts w:ascii="Arial" w:hAnsi="Arial" w:cs="Arial"/>
                <w:i/>
                <w:iCs/>
              </w:rPr>
              <w:t>’kohaldatakse sellele</w:t>
            </w:r>
            <w:r w:rsidRPr="00187608">
              <w:rPr>
                <w:rFonts w:ascii="Arial" w:hAnsi="Arial" w:cs="Arial"/>
              </w:rPr>
              <w:t>’ – tasaarvestuskokkuleppele, menetlusele või kvalifitseeruvatest finantstehingutest tulenevatele kohustustele?</w:t>
            </w:r>
          </w:p>
          <w:p w14:paraId="7785F128" w14:textId="392482D4" w:rsidR="00137AAA" w:rsidRPr="00187608" w:rsidRDefault="00137AAA" w:rsidP="00137AAA">
            <w:pPr>
              <w:spacing w:after="120" w:line="240" w:lineRule="auto"/>
              <w:rPr>
                <w:rFonts w:ascii="Arial" w:hAnsi="Arial" w:cs="Arial"/>
              </w:rPr>
            </w:pPr>
            <w:r>
              <w:rPr>
                <w:rFonts w:ascii="Arial" w:hAnsi="Arial" w:cs="Arial"/>
              </w:rPr>
              <w:t xml:space="preserve">Meie hinnangul jääb praeguses sõnastuses ebaselgeks  </w:t>
            </w:r>
            <w:r w:rsidRPr="00187608">
              <w:rPr>
                <w:rFonts w:ascii="Arial" w:hAnsi="Arial" w:cs="Arial"/>
              </w:rPr>
              <w:t>§ 229</w:t>
            </w:r>
            <w:r w:rsidRPr="00187608">
              <w:rPr>
                <w:rFonts w:ascii="Arial" w:hAnsi="Arial" w:cs="Arial"/>
                <w:vertAlign w:val="superscript"/>
              </w:rPr>
              <w:t xml:space="preserve">6 </w:t>
            </w:r>
            <w:r w:rsidRPr="00187608">
              <w:rPr>
                <w:rFonts w:ascii="Arial" w:hAnsi="Arial" w:cs="Arial"/>
              </w:rPr>
              <w:t>lõikes 1</w:t>
            </w:r>
            <w:r>
              <w:rPr>
                <w:rFonts w:ascii="Arial" w:hAnsi="Arial" w:cs="Arial"/>
              </w:rPr>
              <w:t xml:space="preserve"> ja lõikes 9 sätestatud põhimõtete vahekord, ehk siis mis ulatuses kriisilahendusmenetluse läbi viimine ei mõjuta lõpetamisel toimuvat tasaarvestust. </w:t>
            </w:r>
          </w:p>
        </w:tc>
      </w:tr>
    </w:tbl>
    <w:p w14:paraId="7550505B" w14:textId="77777777" w:rsidR="00187608" w:rsidRPr="00187608" w:rsidRDefault="00187608" w:rsidP="00187608">
      <w:pPr>
        <w:pStyle w:val="ListParagraph"/>
        <w:spacing w:after="120" w:line="240" w:lineRule="auto"/>
        <w:ind w:left="567"/>
        <w:jc w:val="both"/>
        <w:rPr>
          <w:rFonts w:ascii="Arial" w:hAnsi="Arial" w:cs="Arial"/>
          <w:sz w:val="20"/>
          <w:szCs w:val="20"/>
          <w:u w:val="single"/>
        </w:rPr>
      </w:pPr>
    </w:p>
    <w:p w14:paraId="2864D625" w14:textId="77777777" w:rsidR="009113F3" w:rsidRDefault="009113F3" w:rsidP="009113F3">
      <w:pPr>
        <w:pStyle w:val="ListParagraph"/>
        <w:spacing w:after="120" w:line="240" w:lineRule="auto"/>
        <w:ind w:left="567"/>
        <w:contextualSpacing w:val="0"/>
        <w:jc w:val="both"/>
        <w:rPr>
          <w:rFonts w:ascii="Arial" w:hAnsi="Arial" w:cs="Arial"/>
          <w:b/>
          <w:bCs/>
          <w:sz w:val="20"/>
          <w:szCs w:val="20"/>
          <w:u w:val="single"/>
        </w:rPr>
      </w:pPr>
    </w:p>
    <w:p w14:paraId="3B8D5E80" w14:textId="120F01C3" w:rsidR="00B96A59" w:rsidRPr="00B96A59" w:rsidRDefault="00B96A59" w:rsidP="00B96A59">
      <w:pPr>
        <w:pStyle w:val="ListParagraph"/>
        <w:numPr>
          <w:ilvl w:val="0"/>
          <w:numId w:val="4"/>
        </w:numPr>
        <w:spacing w:after="120" w:line="240" w:lineRule="auto"/>
        <w:ind w:left="567" w:hanging="567"/>
        <w:contextualSpacing w:val="0"/>
        <w:jc w:val="both"/>
        <w:rPr>
          <w:rFonts w:ascii="Arial" w:hAnsi="Arial" w:cs="Arial"/>
          <w:b/>
          <w:bCs/>
          <w:sz w:val="20"/>
          <w:szCs w:val="20"/>
          <w:u w:val="single"/>
        </w:rPr>
      </w:pPr>
      <w:r w:rsidRPr="00B96A59">
        <w:rPr>
          <w:rFonts w:ascii="Arial" w:hAnsi="Arial" w:cs="Arial"/>
          <w:b/>
          <w:bCs/>
          <w:sz w:val="20"/>
          <w:szCs w:val="20"/>
          <w:u w:val="single"/>
        </w:rPr>
        <w:t xml:space="preserve">Finantskriisi ennetamise ja lahendamise seaduse muutmine </w:t>
      </w:r>
    </w:p>
    <w:p w14:paraId="46C966CA" w14:textId="77777777" w:rsidR="00187608" w:rsidRPr="00187608" w:rsidRDefault="00187608" w:rsidP="00187608">
      <w:pPr>
        <w:spacing w:after="120" w:line="240" w:lineRule="auto"/>
        <w:jc w:val="both"/>
        <w:rPr>
          <w:rFonts w:ascii="Arial" w:hAnsi="Arial" w:cs="Arial"/>
          <w:sz w:val="20"/>
          <w:szCs w:val="20"/>
          <w:u w:val="single"/>
        </w:rPr>
      </w:pPr>
    </w:p>
    <w:tbl>
      <w:tblPr>
        <w:tblStyle w:val="TableGrid"/>
        <w:tblW w:w="0" w:type="auto"/>
        <w:tblLook w:val="04A0" w:firstRow="1" w:lastRow="0" w:firstColumn="1" w:lastColumn="0" w:noHBand="0" w:noVBand="1"/>
      </w:tblPr>
      <w:tblGrid>
        <w:gridCol w:w="2263"/>
        <w:gridCol w:w="6799"/>
      </w:tblGrid>
      <w:tr w:rsidR="00187608" w:rsidRPr="00187608" w14:paraId="0ABB4D71" w14:textId="77777777" w:rsidTr="00D15A6C">
        <w:tc>
          <w:tcPr>
            <w:tcW w:w="2263" w:type="dxa"/>
          </w:tcPr>
          <w:p w14:paraId="7D02379C" w14:textId="77777777" w:rsidR="00B96A59" w:rsidRPr="00B96A59" w:rsidRDefault="00B96A59" w:rsidP="00B96A59">
            <w:pPr>
              <w:tabs>
                <w:tab w:val="left" w:pos="567"/>
              </w:tabs>
              <w:spacing w:after="120" w:line="240" w:lineRule="auto"/>
              <w:rPr>
                <w:rFonts w:ascii="Arial" w:hAnsi="Arial" w:cs="Arial"/>
              </w:rPr>
            </w:pPr>
            <w:r w:rsidRPr="00B96A59">
              <w:rPr>
                <w:rFonts w:ascii="Arial" w:hAnsi="Arial" w:cs="Arial"/>
              </w:rPr>
              <w:t>Eelnõu § 3 punkt 1 – FELS § 2 lg 1 muutmine</w:t>
            </w:r>
          </w:p>
          <w:p w14:paraId="377935FD" w14:textId="1DA9166E" w:rsidR="00187608" w:rsidRPr="00187608" w:rsidRDefault="00187608" w:rsidP="00187608">
            <w:pPr>
              <w:pStyle w:val="SLONormal"/>
              <w:spacing w:before="0"/>
              <w:rPr>
                <w:rFonts w:ascii="Arial" w:hAnsi="Arial" w:cs="Arial"/>
                <w:lang w:val="et-EE"/>
              </w:rPr>
            </w:pPr>
          </w:p>
        </w:tc>
        <w:tc>
          <w:tcPr>
            <w:tcW w:w="6799" w:type="dxa"/>
          </w:tcPr>
          <w:p w14:paraId="68FC0CE2" w14:textId="2F7016EC" w:rsidR="00B96A59" w:rsidRPr="00187608" w:rsidRDefault="00B96A59" w:rsidP="00B96A59">
            <w:pPr>
              <w:spacing w:after="120" w:line="240" w:lineRule="auto"/>
              <w:rPr>
                <w:rFonts w:ascii="Arial" w:hAnsi="Arial" w:cs="Arial"/>
              </w:rPr>
            </w:pPr>
            <w:r w:rsidRPr="00187608">
              <w:rPr>
                <w:rFonts w:ascii="Arial" w:hAnsi="Arial" w:cs="Arial"/>
              </w:rPr>
              <w:t xml:space="preserve">Ettepanek on </w:t>
            </w:r>
            <w:r>
              <w:rPr>
                <w:rFonts w:ascii="Arial" w:hAnsi="Arial" w:cs="Arial"/>
              </w:rPr>
              <w:t>kaaluda</w:t>
            </w:r>
            <w:r w:rsidRPr="00187608">
              <w:rPr>
                <w:rFonts w:ascii="Arial" w:hAnsi="Arial" w:cs="Arial"/>
              </w:rPr>
              <w:t xml:space="preserve"> lõike 1 ulatus</w:t>
            </w:r>
            <w:r>
              <w:rPr>
                <w:rFonts w:ascii="Arial" w:hAnsi="Arial" w:cs="Arial"/>
              </w:rPr>
              <w:t>e laiendamist</w:t>
            </w:r>
            <w:r w:rsidRPr="00187608">
              <w:rPr>
                <w:rFonts w:ascii="Arial" w:hAnsi="Arial" w:cs="Arial"/>
              </w:rPr>
              <w:t xml:space="preserve"> ka sellistele Eestis asutatud valdusettevõtjatele, kes kuuluvad samasse konsolideerimisgruppi mitte ainult Eestis asutatud krediidiasutustega vaid ka muus lepinguriigis asutatud krediidiasutusega.</w:t>
            </w:r>
          </w:p>
          <w:p w14:paraId="28873523" w14:textId="77777777" w:rsidR="00B96A59" w:rsidRPr="00187608" w:rsidRDefault="00B96A59" w:rsidP="00B96A59">
            <w:pPr>
              <w:spacing w:after="120" w:line="240" w:lineRule="auto"/>
              <w:rPr>
                <w:rFonts w:ascii="Arial" w:hAnsi="Arial" w:cs="Arial"/>
              </w:rPr>
            </w:pPr>
            <w:r w:rsidRPr="00187608">
              <w:rPr>
                <w:rFonts w:ascii="Arial" w:hAnsi="Arial" w:cs="Arial"/>
              </w:rPr>
              <w:t xml:space="preserve">BRRD artikkel 1(1) punkt c kohaselt hõlmab BRRD kohaldumisala muuhulgas valdusettevõtjaid, kes on asutatud Euroopa Liidus. FELS § 2 punktid 1 ja 2 toovad seaduse kohaldumisalasse Eestis asutatud krediidiasutused ja investeerimisühingud ning punkt 3 laiendab kohaldumisala ainult sellistele Eestis asutatud valdusettevõtjatele, kes kuuluvad samasse konsolideerimisgruppi punktides 1 ja 2 nimetatud (Eestis asutatud) isikutega. Kohaldumisalast jäävad välja need Eestis asutatud valdusettevõtjad, kes võivad olla kriisilahendussubjektiks, kuid kellega samasse konsolideerimisgruppi kuuluv krediidiasutus või investeerimisühing on asutatud muus lepinguriigis. </w:t>
            </w:r>
          </w:p>
          <w:p w14:paraId="660E3CEE" w14:textId="77777777" w:rsidR="00B96A59" w:rsidRPr="00187608" w:rsidRDefault="00B96A59" w:rsidP="00B96A59">
            <w:pPr>
              <w:spacing w:after="120" w:line="240" w:lineRule="auto"/>
              <w:rPr>
                <w:rFonts w:ascii="Arial" w:hAnsi="Arial" w:cs="Arial"/>
              </w:rPr>
            </w:pPr>
            <w:r w:rsidRPr="00187608">
              <w:rPr>
                <w:rFonts w:ascii="Arial" w:hAnsi="Arial" w:cs="Arial"/>
              </w:rPr>
              <w:t>Sellest tulenevalt on ettepanek muuta punkti 3 järgmiselt (</w:t>
            </w:r>
            <w:proofErr w:type="spellStart"/>
            <w:r w:rsidRPr="00187608">
              <w:rPr>
                <w:rFonts w:ascii="Arial" w:hAnsi="Arial" w:cs="Arial"/>
              </w:rPr>
              <w:t>allajoonitud</w:t>
            </w:r>
            <w:proofErr w:type="spellEnd"/>
            <w:r w:rsidRPr="00187608">
              <w:rPr>
                <w:rFonts w:ascii="Arial" w:hAnsi="Arial" w:cs="Arial"/>
              </w:rPr>
              <w:t xml:space="preserve"> osas):</w:t>
            </w:r>
          </w:p>
          <w:p w14:paraId="1B1188D7" w14:textId="4B445FA9" w:rsidR="00187608" w:rsidRPr="00B96A59" w:rsidRDefault="00B96A59" w:rsidP="00B96A59">
            <w:pPr>
              <w:pStyle w:val="SLONormal"/>
              <w:spacing w:before="0"/>
              <w:rPr>
                <w:rFonts w:ascii="Arial" w:hAnsi="Arial" w:cs="Arial"/>
                <w:lang w:val="et-EE"/>
              </w:rPr>
            </w:pPr>
            <w:r w:rsidRPr="00B96A59">
              <w:rPr>
                <w:rFonts w:ascii="Arial" w:hAnsi="Arial" w:cs="Arial"/>
                <w:lang w:val="et-EE"/>
              </w:rPr>
              <w:t>„</w:t>
            </w:r>
            <w:r w:rsidRPr="00B96A59">
              <w:rPr>
                <w:rFonts w:ascii="Arial" w:hAnsi="Arial" w:cs="Arial"/>
                <w:i/>
                <w:iCs/>
                <w:lang w:val="et-EE"/>
              </w:rPr>
              <w:t xml:space="preserve">3) Eestis asutatud finantsvaldusettevõtjale, </w:t>
            </w:r>
            <w:proofErr w:type="spellStart"/>
            <w:r w:rsidRPr="00B96A59">
              <w:rPr>
                <w:rFonts w:ascii="Arial" w:hAnsi="Arial" w:cs="Arial"/>
                <w:i/>
                <w:iCs/>
                <w:lang w:val="et-EE"/>
              </w:rPr>
              <w:t>segafinantsvaldusettevõtjale</w:t>
            </w:r>
            <w:proofErr w:type="spellEnd"/>
            <w:r w:rsidRPr="00B96A59">
              <w:rPr>
                <w:rFonts w:ascii="Arial" w:hAnsi="Arial" w:cs="Arial"/>
                <w:i/>
                <w:iCs/>
                <w:lang w:val="et-EE"/>
              </w:rPr>
              <w:t xml:space="preserve"> ja </w:t>
            </w:r>
            <w:proofErr w:type="spellStart"/>
            <w:r w:rsidRPr="00B96A59">
              <w:rPr>
                <w:rFonts w:ascii="Arial" w:hAnsi="Arial" w:cs="Arial"/>
                <w:i/>
                <w:iCs/>
                <w:lang w:val="et-EE"/>
              </w:rPr>
              <w:t>segavaldusettevõtjale</w:t>
            </w:r>
            <w:proofErr w:type="spellEnd"/>
            <w:r w:rsidRPr="00B96A59">
              <w:rPr>
                <w:rFonts w:ascii="Arial" w:hAnsi="Arial" w:cs="Arial"/>
                <w:i/>
                <w:iCs/>
                <w:lang w:val="et-EE"/>
              </w:rPr>
              <w:t xml:space="preserve">, kes kuuluvad käesoleva lõike punktis 1 või 2 nimetatud krediidiasutusega või investeerimisühinguga </w:t>
            </w:r>
            <w:r w:rsidRPr="00B96A59">
              <w:rPr>
                <w:rFonts w:ascii="Arial" w:hAnsi="Arial" w:cs="Arial"/>
                <w:i/>
                <w:iCs/>
                <w:u w:val="single"/>
                <w:lang w:val="et-EE"/>
              </w:rPr>
              <w:t xml:space="preserve">või muus lepinguriigis asutatud krediidiasutuse või investeerimisühinguga </w:t>
            </w:r>
            <w:r w:rsidRPr="00B96A59">
              <w:rPr>
                <w:rFonts w:ascii="Arial" w:hAnsi="Arial" w:cs="Arial"/>
                <w:i/>
                <w:iCs/>
                <w:lang w:val="et-EE"/>
              </w:rPr>
              <w:t>samasse konsolideerimisgruppi;“</w:t>
            </w:r>
          </w:p>
        </w:tc>
      </w:tr>
    </w:tbl>
    <w:p w14:paraId="7CEF9FF5" w14:textId="77777777" w:rsidR="00187608" w:rsidRDefault="00187608" w:rsidP="00187608">
      <w:pPr>
        <w:spacing w:after="120" w:line="240" w:lineRule="auto"/>
        <w:jc w:val="both"/>
        <w:rPr>
          <w:rFonts w:ascii="Arial" w:hAnsi="Arial" w:cs="Arial"/>
          <w:sz w:val="20"/>
          <w:szCs w:val="20"/>
          <w:u w:val="single"/>
        </w:rPr>
      </w:pPr>
    </w:p>
    <w:p w14:paraId="575B1167" w14:textId="77777777" w:rsidR="00BA5E45" w:rsidRPr="00BA5E45" w:rsidRDefault="00BA5E45" w:rsidP="00BA5E45">
      <w:pPr>
        <w:pStyle w:val="ListParagraph"/>
        <w:numPr>
          <w:ilvl w:val="0"/>
          <w:numId w:val="4"/>
        </w:numPr>
        <w:spacing w:after="120" w:line="240" w:lineRule="auto"/>
        <w:ind w:left="567" w:hanging="567"/>
        <w:contextualSpacing w:val="0"/>
        <w:jc w:val="both"/>
        <w:rPr>
          <w:rFonts w:ascii="Arial" w:hAnsi="Arial" w:cs="Arial"/>
          <w:b/>
          <w:bCs/>
          <w:sz w:val="20"/>
          <w:szCs w:val="20"/>
          <w:u w:val="single"/>
        </w:rPr>
      </w:pPr>
      <w:r w:rsidRPr="00BA5E45">
        <w:rPr>
          <w:rFonts w:ascii="Arial" w:hAnsi="Arial" w:cs="Arial"/>
          <w:b/>
          <w:bCs/>
          <w:sz w:val="20"/>
          <w:szCs w:val="20"/>
          <w:u w:val="single"/>
        </w:rPr>
        <w:t>Krediidiasutuste seaduse muutmine</w:t>
      </w:r>
    </w:p>
    <w:p w14:paraId="6A6C0B68" w14:textId="77777777" w:rsidR="00BA5E45" w:rsidRDefault="00BA5E45" w:rsidP="00187608">
      <w:pPr>
        <w:spacing w:after="120" w:line="240" w:lineRule="auto"/>
        <w:jc w:val="both"/>
        <w:rPr>
          <w:rFonts w:ascii="Arial" w:hAnsi="Arial" w:cs="Arial"/>
          <w:sz w:val="20"/>
          <w:szCs w:val="20"/>
          <w:u w:val="single"/>
        </w:rPr>
      </w:pPr>
    </w:p>
    <w:tbl>
      <w:tblPr>
        <w:tblStyle w:val="TableGrid"/>
        <w:tblW w:w="0" w:type="auto"/>
        <w:tblLook w:val="04A0" w:firstRow="1" w:lastRow="0" w:firstColumn="1" w:lastColumn="0" w:noHBand="0" w:noVBand="1"/>
      </w:tblPr>
      <w:tblGrid>
        <w:gridCol w:w="2263"/>
        <w:gridCol w:w="6799"/>
      </w:tblGrid>
      <w:tr w:rsidR="00BA5E45" w:rsidRPr="00187608" w14:paraId="214EA5A4" w14:textId="77777777" w:rsidTr="00D15A6C">
        <w:tc>
          <w:tcPr>
            <w:tcW w:w="2263" w:type="dxa"/>
          </w:tcPr>
          <w:p w14:paraId="566A562B" w14:textId="77777777" w:rsidR="00BA5E45" w:rsidRPr="00BA5E45" w:rsidRDefault="00BA5E45" w:rsidP="00BA5E45">
            <w:pPr>
              <w:spacing w:after="120" w:line="240" w:lineRule="auto"/>
              <w:rPr>
                <w:rFonts w:ascii="Arial" w:hAnsi="Arial" w:cs="Arial"/>
              </w:rPr>
            </w:pPr>
            <w:r w:rsidRPr="00BA5E45">
              <w:rPr>
                <w:rFonts w:ascii="Arial" w:hAnsi="Arial" w:cs="Arial"/>
              </w:rPr>
              <w:t xml:space="preserve">Eelnõu § 8 punkt 12 – </w:t>
            </w:r>
            <w:proofErr w:type="spellStart"/>
            <w:r w:rsidRPr="00BA5E45">
              <w:rPr>
                <w:rFonts w:ascii="Arial" w:hAnsi="Arial" w:cs="Arial"/>
              </w:rPr>
              <w:t>KrAS</w:t>
            </w:r>
            <w:proofErr w:type="spellEnd"/>
            <w:r w:rsidRPr="00BA5E45">
              <w:rPr>
                <w:rFonts w:ascii="Arial" w:hAnsi="Arial" w:cs="Arial"/>
              </w:rPr>
              <w:t xml:space="preserve"> § 131 täiendamine</w:t>
            </w:r>
          </w:p>
          <w:p w14:paraId="45563D61" w14:textId="77777777" w:rsidR="00BA5E45" w:rsidRPr="00B96A59" w:rsidRDefault="00BA5E45" w:rsidP="00D15A6C">
            <w:pPr>
              <w:tabs>
                <w:tab w:val="left" w:pos="567"/>
              </w:tabs>
              <w:spacing w:after="120" w:line="240" w:lineRule="auto"/>
              <w:rPr>
                <w:rFonts w:ascii="Arial" w:hAnsi="Arial" w:cs="Arial"/>
              </w:rPr>
            </w:pPr>
          </w:p>
        </w:tc>
        <w:tc>
          <w:tcPr>
            <w:tcW w:w="6799" w:type="dxa"/>
          </w:tcPr>
          <w:p w14:paraId="62075AF7" w14:textId="77777777" w:rsidR="00BA5E45" w:rsidRPr="00187608" w:rsidRDefault="00BA5E45" w:rsidP="00BA5E45">
            <w:pPr>
              <w:spacing w:after="120" w:line="240" w:lineRule="auto"/>
              <w:rPr>
                <w:rFonts w:ascii="Arial" w:hAnsi="Arial" w:cs="Arial"/>
              </w:rPr>
            </w:pPr>
            <w:r w:rsidRPr="00187608">
              <w:rPr>
                <w:rFonts w:ascii="Arial" w:hAnsi="Arial" w:cs="Arial"/>
              </w:rPr>
              <w:t>Ettepanek on laiendada lõike 3 ulatust ka sellistele Eesti tütar- ja valdusettevõtjatele, kes kuuluvad samasse konsolideerimisgruppi mitte ainult Eestis asutatud krediidiasutustega vaid ka muus lepinguriigis asutatud krediidiasutusega.</w:t>
            </w:r>
          </w:p>
          <w:p w14:paraId="4F399184" w14:textId="77777777" w:rsidR="00BA5E45" w:rsidRPr="00187608" w:rsidRDefault="00BA5E45" w:rsidP="00BA5E45">
            <w:pPr>
              <w:spacing w:after="120" w:line="240" w:lineRule="auto"/>
              <w:rPr>
                <w:rFonts w:ascii="Arial" w:hAnsi="Arial" w:cs="Arial"/>
              </w:rPr>
            </w:pPr>
            <w:r w:rsidRPr="00187608">
              <w:rPr>
                <w:rFonts w:ascii="Arial" w:hAnsi="Arial" w:cs="Arial"/>
              </w:rPr>
              <w:t xml:space="preserve">BRRD (muudetud) Art 48(7) eeldab, et pankrotiõiguse normid allutavad omavahenditest tulenevad nõuded kõikide artikli 1(1) punktides a – d nimetatud isikute puhul, sh lepinguriigi valdusettevõtjad. Praktikas ei saa välistada olukordi, kus teises lepinguriigis asutatud krediidiasutuse </w:t>
            </w:r>
            <w:r w:rsidRPr="00187608">
              <w:rPr>
                <w:rFonts w:ascii="Arial" w:hAnsi="Arial" w:cs="Arial"/>
              </w:rPr>
              <w:lastRenderedPageBreak/>
              <w:t>valdusettevõtja on asutatud Eestis ning usaldatavusnormatiive järgitakse konsolideeritud baasil Eesti valdusettevõtjas. Seetõttu on oluline, et ka sellise Eestis asutatud valdusettevõtja pankroti korral tuleneb omavahenditest tulenevate nõuete allutamine kohalduvast Eesti pankrotiõigusest.</w:t>
            </w:r>
          </w:p>
          <w:p w14:paraId="6E906259" w14:textId="77777777" w:rsidR="00BA5E45" w:rsidRPr="00187608" w:rsidRDefault="00BA5E45" w:rsidP="00BA5E45">
            <w:pPr>
              <w:spacing w:after="120" w:line="240" w:lineRule="auto"/>
              <w:rPr>
                <w:rFonts w:ascii="Arial" w:hAnsi="Arial" w:cs="Arial"/>
              </w:rPr>
            </w:pPr>
            <w:r w:rsidRPr="00187608">
              <w:rPr>
                <w:rFonts w:ascii="Arial" w:hAnsi="Arial" w:cs="Arial"/>
              </w:rPr>
              <w:t xml:space="preserve">Teeme ettepaneku sõnastada </w:t>
            </w:r>
            <w:proofErr w:type="spellStart"/>
            <w:r w:rsidRPr="00187608">
              <w:rPr>
                <w:rFonts w:ascii="Arial" w:hAnsi="Arial" w:cs="Arial"/>
              </w:rPr>
              <w:t>KrAS</w:t>
            </w:r>
            <w:proofErr w:type="spellEnd"/>
            <w:r w:rsidRPr="00187608">
              <w:rPr>
                <w:rFonts w:ascii="Arial" w:hAnsi="Arial" w:cs="Arial"/>
              </w:rPr>
              <w:t xml:space="preserve"> § 131 lg 3 järgmiselt:</w:t>
            </w:r>
          </w:p>
          <w:p w14:paraId="3419D1AA" w14:textId="77777777" w:rsidR="00BA5E45" w:rsidRPr="00187608" w:rsidRDefault="00BA5E45" w:rsidP="00BA5E45">
            <w:pPr>
              <w:spacing w:after="120" w:line="240" w:lineRule="auto"/>
              <w:rPr>
                <w:rFonts w:ascii="Arial" w:hAnsi="Arial" w:cs="Arial"/>
              </w:rPr>
            </w:pPr>
            <w:r w:rsidRPr="00187608">
              <w:rPr>
                <w:rFonts w:ascii="Arial" w:hAnsi="Arial" w:cs="Arial"/>
                <w:i/>
                <w:iCs/>
              </w:rPr>
              <w:t xml:space="preserve">„(3) Käesolevas paragrahvis sätestatut kohaldatakse lisaks Eestis asutatud krediidiasutustele ka </w:t>
            </w:r>
            <w:r w:rsidRPr="00187608">
              <w:rPr>
                <w:rFonts w:ascii="Arial" w:hAnsi="Arial" w:cs="Arial"/>
                <w:i/>
                <w:iCs/>
                <w:u w:val="single"/>
              </w:rPr>
              <w:t>Eesti või muu lepinguriigi krediidiasutuse</w:t>
            </w:r>
            <w:r w:rsidRPr="00187608">
              <w:rPr>
                <w:rFonts w:ascii="Arial" w:hAnsi="Arial" w:cs="Arial"/>
                <w:i/>
                <w:iCs/>
              </w:rPr>
              <w:t xml:space="preserve"> Eestis asutatud finantseerimisasutusest tütarettevõtjatele, Eestis asutatud finantsvaldusettevõtjatele, </w:t>
            </w:r>
            <w:proofErr w:type="spellStart"/>
            <w:r w:rsidRPr="00187608">
              <w:rPr>
                <w:rFonts w:ascii="Arial" w:hAnsi="Arial" w:cs="Arial"/>
                <w:i/>
                <w:iCs/>
              </w:rPr>
              <w:t>segavaldusettevõtjatele</w:t>
            </w:r>
            <w:proofErr w:type="spellEnd"/>
            <w:r w:rsidRPr="00187608">
              <w:rPr>
                <w:rFonts w:ascii="Arial" w:hAnsi="Arial" w:cs="Arial"/>
                <w:i/>
                <w:iCs/>
              </w:rPr>
              <w:t xml:space="preserve"> ja </w:t>
            </w:r>
            <w:proofErr w:type="spellStart"/>
            <w:r w:rsidRPr="00187608">
              <w:rPr>
                <w:rFonts w:ascii="Arial" w:hAnsi="Arial" w:cs="Arial"/>
                <w:i/>
                <w:iCs/>
              </w:rPr>
              <w:t>segafinantsvaldusettevõtjatele</w:t>
            </w:r>
            <w:proofErr w:type="spellEnd"/>
            <w:r w:rsidRPr="00187608">
              <w:rPr>
                <w:rFonts w:ascii="Arial" w:hAnsi="Arial" w:cs="Arial"/>
                <w:i/>
                <w:iCs/>
              </w:rPr>
              <w:t>, kes kuuluvad selle krediidiasutusega samasse konsolideerimisgruppi.</w:t>
            </w:r>
            <w:r w:rsidRPr="00187608">
              <w:rPr>
                <w:rFonts w:ascii="Arial" w:hAnsi="Arial" w:cs="Arial"/>
              </w:rPr>
              <w:t>“</w:t>
            </w:r>
          </w:p>
          <w:p w14:paraId="187D7DC5" w14:textId="77777777" w:rsidR="00BA5E45" w:rsidRPr="00187608" w:rsidRDefault="00BA5E45" w:rsidP="00D15A6C">
            <w:pPr>
              <w:spacing w:after="120" w:line="240" w:lineRule="auto"/>
              <w:rPr>
                <w:rFonts w:ascii="Arial" w:hAnsi="Arial" w:cs="Arial"/>
              </w:rPr>
            </w:pPr>
          </w:p>
        </w:tc>
      </w:tr>
    </w:tbl>
    <w:p w14:paraId="66EF65B3" w14:textId="77777777" w:rsidR="00BA5E45" w:rsidRDefault="00BA5E45" w:rsidP="00187608">
      <w:pPr>
        <w:spacing w:after="120" w:line="240" w:lineRule="auto"/>
        <w:jc w:val="both"/>
        <w:rPr>
          <w:rFonts w:ascii="Arial" w:hAnsi="Arial" w:cs="Arial"/>
          <w:sz w:val="20"/>
          <w:szCs w:val="20"/>
          <w:u w:val="single"/>
        </w:rPr>
      </w:pPr>
    </w:p>
    <w:p w14:paraId="76FD1F8A" w14:textId="77777777" w:rsidR="00BA5E45" w:rsidRPr="00187608" w:rsidRDefault="00BA5E45" w:rsidP="00BA5E45">
      <w:pPr>
        <w:pStyle w:val="ListParagraph"/>
        <w:numPr>
          <w:ilvl w:val="0"/>
          <w:numId w:val="4"/>
        </w:numPr>
        <w:spacing w:after="120" w:line="240" w:lineRule="auto"/>
        <w:ind w:left="567" w:hanging="567"/>
        <w:contextualSpacing w:val="0"/>
        <w:jc w:val="both"/>
        <w:rPr>
          <w:rFonts w:ascii="Arial" w:hAnsi="Arial" w:cs="Arial"/>
          <w:b/>
          <w:bCs/>
          <w:sz w:val="20"/>
          <w:szCs w:val="20"/>
        </w:rPr>
      </w:pPr>
      <w:r w:rsidRPr="00187608">
        <w:rPr>
          <w:rFonts w:ascii="Arial" w:hAnsi="Arial" w:cs="Arial"/>
          <w:b/>
          <w:bCs/>
          <w:sz w:val="20"/>
          <w:szCs w:val="20"/>
        </w:rPr>
        <w:t>Pankrotiseaduse muutmine</w:t>
      </w:r>
    </w:p>
    <w:p w14:paraId="690FF1AA" w14:textId="77777777" w:rsidR="00BA5E45" w:rsidRDefault="00BA5E45" w:rsidP="00187608">
      <w:pPr>
        <w:spacing w:after="120" w:line="240" w:lineRule="auto"/>
        <w:jc w:val="both"/>
        <w:rPr>
          <w:rFonts w:ascii="Arial" w:hAnsi="Arial" w:cs="Arial"/>
          <w:sz w:val="20"/>
          <w:szCs w:val="20"/>
          <w:u w:val="single"/>
        </w:rPr>
      </w:pPr>
    </w:p>
    <w:tbl>
      <w:tblPr>
        <w:tblStyle w:val="TableGrid"/>
        <w:tblW w:w="0" w:type="auto"/>
        <w:tblLook w:val="04A0" w:firstRow="1" w:lastRow="0" w:firstColumn="1" w:lastColumn="0" w:noHBand="0" w:noVBand="1"/>
      </w:tblPr>
      <w:tblGrid>
        <w:gridCol w:w="2263"/>
        <w:gridCol w:w="6799"/>
      </w:tblGrid>
      <w:tr w:rsidR="00BA5E45" w:rsidRPr="00187608" w14:paraId="4E748F51" w14:textId="77777777" w:rsidTr="00D15A6C">
        <w:tc>
          <w:tcPr>
            <w:tcW w:w="2263" w:type="dxa"/>
          </w:tcPr>
          <w:p w14:paraId="7D8F76B7" w14:textId="77777777" w:rsidR="00BA5E45" w:rsidRPr="00BA5E45" w:rsidRDefault="00BA5E45" w:rsidP="00BA5E45">
            <w:pPr>
              <w:spacing w:after="120" w:line="240" w:lineRule="auto"/>
              <w:rPr>
                <w:rFonts w:ascii="Arial" w:hAnsi="Arial" w:cs="Arial"/>
              </w:rPr>
            </w:pPr>
            <w:r w:rsidRPr="00BA5E45">
              <w:rPr>
                <w:rFonts w:ascii="Arial" w:hAnsi="Arial" w:cs="Arial"/>
              </w:rPr>
              <w:t xml:space="preserve">Eelnõu § 9 p 5 – </w:t>
            </w:r>
            <w:proofErr w:type="spellStart"/>
            <w:r w:rsidRPr="00BA5E45">
              <w:rPr>
                <w:rFonts w:ascii="Arial" w:hAnsi="Arial" w:cs="Arial"/>
              </w:rPr>
              <w:t>PankrS</w:t>
            </w:r>
            <w:proofErr w:type="spellEnd"/>
            <w:r w:rsidRPr="00BA5E45">
              <w:rPr>
                <w:rFonts w:ascii="Arial" w:hAnsi="Arial" w:cs="Arial"/>
              </w:rPr>
              <w:t xml:space="preserve"> § 48 lõiked 1 ja 4</w:t>
            </w:r>
          </w:p>
          <w:p w14:paraId="75F76BAB" w14:textId="77777777" w:rsidR="00BA5E45" w:rsidRPr="00187608" w:rsidRDefault="00BA5E45" w:rsidP="00D15A6C">
            <w:pPr>
              <w:pStyle w:val="SLONormal"/>
              <w:spacing w:before="0"/>
              <w:rPr>
                <w:rFonts w:ascii="Arial" w:hAnsi="Arial" w:cs="Arial"/>
                <w:lang w:val="et-EE"/>
              </w:rPr>
            </w:pPr>
          </w:p>
        </w:tc>
        <w:tc>
          <w:tcPr>
            <w:tcW w:w="6799" w:type="dxa"/>
          </w:tcPr>
          <w:p w14:paraId="49688781" w14:textId="77777777" w:rsidR="00BA5E45" w:rsidRPr="00187608" w:rsidRDefault="00BA5E45" w:rsidP="00BA5E45">
            <w:pPr>
              <w:spacing w:after="120" w:line="240" w:lineRule="auto"/>
              <w:rPr>
                <w:rFonts w:ascii="Arial" w:hAnsi="Arial" w:cs="Arial"/>
              </w:rPr>
            </w:pPr>
            <w:r w:rsidRPr="00187608">
              <w:rPr>
                <w:rFonts w:ascii="Arial" w:hAnsi="Arial" w:cs="Arial"/>
              </w:rPr>
              <w:t xml:space="preserve">Eelnõu põhjal jääb arusaamatuks vajadus säilitada eriregulatsioon tuletistehingutele, mis pole hõlmatud tasaarvestuskokkuleppega. </w:t>
            </w:r>
            <w:proofErr w:type="spellStart"/>
            <w:r w:rsidRPr="00187608">
              <w:rPr>
                <w:rFonts w:ascii="Arial" w:hAnsi="Arial" w:cs="Arial"/>
              </w:rPr>
              <w:t>PankrS</w:t>
            </w:r>
            <w:proofErr w:type="spellEnd"/>
            <w:r w:rsidRPr="00187608">
              <w:rPr>
                <w:rFonts w:ascii="Arial" w:hAnsi="Arial" w:cs="Arial"/>
              </w:rPr>
              <w:t xml:space="preserve"> § 48 eesmärgiks on olnud just raamlepinguga kaetud tuletistehingute kui kvalifitseeruvate finantstehingute osas </w:t>
            </w:r>
            <w:proofErr w:type="spellStart"/>
            <w:r w:rsidRPr="00187608">
              <w:rPr>
                <w:rFonts w:ascii="Arial" w:hAnsi="Arial" w:cs="Arial"/>
                <w:i/>
                <w:iCs/>
              </w:rPr>
              <w:t>cherry-picking</w:t>
            </w:r>
            <w:r w:rsidRPr="00187608">
              <w:rPr>
                <w:rFonts w:ascii="Arial" w:hAnsi="Arial" w:cs="Arial"/>
              </w:rPr>
              <w:t>’u</w:t>
            </w:r>
            <w:proofErr w:type="spellEnd"/>
            <w:r w:rsidRPr="00187608">
              <w:rPr>
                <w:rFonts w:ascii="Arial" w:hAnsi="Arial" w:cs="Arial"/>
              </w:rPr>
              <w:t xml:space="preserve"> vältimine ja nõude suuruse arvutamine juhuks, kui </w:t>
            </w:r>
            <w:proofErr w:type="spellStart"/>
            <w:r w:rsidRPr="00187608">
              <w:rPr>
                <w:rFonts w:ascii="Arial" w:hAnsi="Arial" w:cs="Arial"/>
                <w:i/>
                <w:iCs/>
              </w:rPr>
              <w:t>early</w:t>
            </w:r>
            <w:proofErr w:type="spellEnd"/>
            <w:r w:rsidRPr="00187608">
              <w:rPr>
                <w:rFonts w:ascii="Arial" w:hAnsi="Arial" w:cs="Arial"/>
                <w:i/>
                <w:iCs/>
              </w:rPr>
              <w:t xml:space="preserve"> </w:t>
            </w:r>
            <w:proofErr w:type="spellStart"/>
            <w:r w:rsidRPr="00187608">
              <w:rPr>
                <w:rFonts w:ascii="Arial" w:hAnsi="Arial" w:cs="Arial"/>
                <w:i/>
                <w:iCs/>
              </w:rPr>
              <w:t>termination</w:t>
            </w:r>
            <w:proofErr w:type="spellEnd"/>
            <w:r w:rsidRPr="00187608">
              <w:rPr>
                <w:rFonts w:ascii="Arial" w:hAnsi="Arial" w:cs="Arial"/>
              </w:rPr>
              <w:t xml:space="preserve"> pole kokku lepitud. Eeskujuks on siin olnud Saksa </w:t>
            </w:r>
            <w:proofErr w:type="spellStart"/>
            <w:r w:rsidRPr="00187608">
              <w:rPr>
                <w:rFonts w:ascii="Arial" w:hAnsi="Arial" w:cs="Arial"/>
              </w:rPr>
              <w:t>Insolvenzordnung</w:t>
            </w:r>
            <w:proofErr w:type="spellEnd"/>
            <w:r w:rsidRPr="00187608">
              <w:rPr>
                <w:rFonts w:ascii="Arial" w:hAnsi="Arial" w:cs="Arial"/>
              </w:rPr>
              <w:t>, § 104. Tuleks eraldiseisvalt kaaluda, kas muude tuletistehingute osas on erisuse tegemine üldse põhjendatud.</w:t>
            </w:r>
          </w:p>
          <w:p w14:paraId="4A233F9F" w14:textId="77777777" w:rsidR="00BA5E45" w:rsidRPr="00187608" w:rsidRDefault="00BA5E45" w:rsidP="00BA5E45">
            <w:pPr>
              <w:spacing w:after="120" w:line="240" w:lineRule="auto"/>
              <w:rPr>
                <w:rFonts w:ascii="Arial" w:hAnsi="Arial" w:cs="Arial"/>
              </w:rPr>
            </w:pPr>
            <w:r w:rsidRPr="00187608">
              <w:rPr>
                <w:rFonts w:ascii="Arial" w:hAnsi="Arial" w:cs="Arial"/>
              </w:rPr>
              <w:t xml:space="preserve">Lähtudes muuhulgas Saksa õiguse arengutest ja kohtulahenditest, peaks pankrotiõiguse sätted keskenduma sellele, kas </w:t>
            </w:r>
            <w:proofErr w:type="spellStart"/>
            <w:r w:rsidRPr="00187608">
              <w:rPr>
                <w:rFonts w:ascii="Arial" w:hAnsi="Arial" w:cs="Arial"/>
                <w:i/>
                <w:iCs/>
              </w:rPr>
              <w:t>early</w:t>
            </w:r>
            <w:proofErr w:type="spellEnd"/>
            <w:r w:rsidRPr="00187608">
              <w:rPr>
                <w:rFonts w:ascii="Arial" w:hAnsi="Arial" w:cs="Arial"/>
                <w:i/>
                <w:iCs/>
              </w:rPr>
              <w:t xml:space="preserve"> </w:t>
            </w:r>
            <w:proofErr w:type="spellStart"/>
            <w:r w:rsidRPr="00187608">
              <w:rPr>
                <w:rFonts w:ascii="Arial" w:hAnsi="Arial" w:cs="Arial"/>
                <w:i/>
                <w:iCs/>
              </w:rPr>
              <w:t>termination</w:t>
            </w:r>
            <w:proofErr w:type="spellEnd"/>
            <w:r w:rsidRPr="00187608">
              <w:rPr>
                <w:rFonts w:ascii="Arial" w:hAnsi="Arial" w:cs="Arial"/>
              </w:rPr>
              <w:t xml:space="preserve"> kontseptsioon on tunnustatud ja mis tingimustel ning kui nõuded loetakse sissenõutavaks </w:t>
            </w:r>
            <w:proofErr w:type="spellStart"/>
            <w:r w:rsidRPr="00187608">
              <w:rPr>
                <w:rFonts w:ascii="Arial" w:hAnsi="Arial" w:cs="Arial"/>
              </w:rPr>
              <w:t>PankrS</w:t>
            </w:r>
            <w:proofErr w:type="spellEnd"/>
            <w:r w:rsidRPr="00187608">
              <w:rPr>
                <w:rFonts w:ascii="Arial" w:hAnsi="Arial" w:cs="Arial"/>
              </w:rPr>
              <w:t xml:space="preserve"> alusel, siis välistada </w:t>
            </w:r>
            <w:proofErr w:type="spellStart"/>
            <w:r w:rsidRPr="00187608">
              <w:rPr>
                <w:rFonts w:ascii="Arial" w:hAnsi="Arial" w:cs="Arial"/>
                <w:i/>
                <w:iCs/>
              </w:rPr>
              <w:t>cherry-picking</w:t>
            </w:r>
            <w:proofErr w:type="spellEnd"/>
            <w:r w:rsidRPr="00187608">
              <w:rPr>
                <w:rFonts w:ascii="Arial" w:hAnsi="Arial" w:cs="Arial"/>
              </w:rPr>
              <w:t xml:space="preserve"> ning sätestada nõude arvutamise alused.</w:t>
            </w:r>
          </w:p>
          <w:p w14:paraId="454C95D9" w14:textId="77777777" w:rsidR="00BA5E45" w:rsidRPr="00187608" w:rsidRDefault="00BA5E45" w:rsidP="00BA5E45">
            <w:pPr>
              <w:spacing w:after="120" w:line="240" w:lineRule="auto"/>
              <w:rPr>
                <w:rFonts w:ascii="Arial" w:hAnsi="Arial" w:cs="Arial"/>
              </w:rPr>
            </w:pPr>
            <w:r w:rsidRPr="00187608">
              <w:rPr>
                <w:rFonts w:ascii="Arial" w:hAnsi="Arial" w:cs="Arial"/>
              </w:rPr>
              <w:t>Uue lõike 4 puhul jääb ebaselgeks, kas eesmärgiks on reguleerida selliste nõuete täitmist, mille täitmise tähtpäev saabus pankroti väljakuulutamisega (</w:t>
            </w:r>
            <w:proofErr w:type="spellStart"/>
            <w:r w:rsidRPr="00187608">
              <w:rPr>
                <w:rFonts w:ascii="Arial" w:hAnsi="Arial" w:cs="Arial"/>
              </w:rPr>
              <w:t>PankrS</w:t>
            </w:r>
            <w:proofErr w:type="spellEnd"/>
            <w:r w:rsidRPr="00187608">
              <w:rPr>
                <w:rFonts w:ascii="Arial" w:hAnsi="Arial" w:cs="Arial"/>
              </w:rPr>
              <w:t xml:space="preserve"> § 42) ja mitte kokkuleppe alusel vahetult sellele eelnevalt. Lõike teine lause osundab võimalusele rakendada lõpetamisel toimuvat tasaarvestust ja nõuded muutuvad sissenõutavaks ’</w:t>
            </w:r>
            <w:r w:rsidRPr="00187608">
              <w:rPr>
                <w:rFonts w:ascii="Arial" w:hAnsi="Arial" w:cs="Arial"/>
                <w:i/>
                <w:iCs/>
              </w:rPr>
              <w:t>kohe</w:t>
            </w:r>
            <w:r w:rsidRPr="00187608">
              <w:rPr>
                <w:rFonts w:ascii="Arial" w:hAnsi="Arial" w:cs="Arial"/>
              </w:rPr>
              <w:t xml:space="preserve">’. Samuti peab see norm käima </w:t>
            </w:r>
            <w:proofErr w:type="spellStart"/>
            <w:r w:rsidRPr="00187608">
              <w:rPr>
                <w:rFonts w:ascii="Arial" w:hAnsi="Arial" w:cs="Arial"/>
              </w:rPr>
              <w:t>käsi-käes</w:t>
            </w:r>
            <w:proofErr w:type="spellEnd"/>
            <w:r w:rsidRPr="00187608">
              <w:rPr>
                <w:rFonts w:ascii="Arial" w:hAnsi="Arial" w:cs="Arial"/>
              </w:rPr>
              <w:t xml:space="preserve"> </w:t>
            </w:r>
            <w:proofErr w:type="spellStart"/>
            <w:r w:rsidRPr="00187608">
              <w:rPr>
                <w:rFonts w:ascii="Arial" w:hAnsi="Arial" w:cs="Arial"/>
              </w:rPr>
              <w:t>VpTS</w:t>
            </w:r>
            <w:proofErr w:type="spellEnd"/>
            <w:r w:rsidRPr="00187608">
              <w:rPr>
                <w:rFonts w:ascii="Arial" w:hAnsi="Arial" w:cs="Arial"/>
              </w:rPr>
              <w:t xml:space="preserve"> §-ga 229</w:t>
            </w:r>
            <w:r w:rsidRPr="00187608">
              <w:rPr>
                <w:rFonts w:ascii="Arial" w:hAnsi="Arial" w:cs="Arial"/>
                <w:vertAlign w:val="superscript"/>
              </w:rPr>
              <w:t>6</w:t>
            </w:r>
            <w:r w:rsidRPr="00187608">
              <w:rPr>
                <w:rFonts w:ascii="Arial" w:hAnsi="Arial" w:cs="Arial"/>
              </w:rPr>
              <w:t xml:space="preserve">. </w:t>
            </w:r>
          </w:p>
          <w:p w14:paraId="261D6C91" w14:textId="77777777" w:rsidR="00BA5E45" w:rsidRPr="00187608" w:rsidRDefault="00BA5E45" w:rsidP="00BA5E45">
            <w:pPr>
              <w:spacing w:after="120" w:line="240" w:lineRule="auto"/>
              <w:rPr>
                <w:rFonts w:ascii="Arial" w:hAnsi="Arial" w:cs="Arial"/>
              </w:rPr>
            </w:pPr>
            <w:proofErr w:type="spellStart"/>
            <w:r w:rsidRPr="00187608">
              <w:rPr>
                <w:rFonts w:ascii="Arial" w:hAnsi="Arial" w:cs="Arial"/>
              </w:rPr>
              <w:t>PankrS</w:t>
            </w:r>
            <w:proofErr w:type="spellEnd"/>
            <w:r w:rsidRPr="00187608">
              <w:rPr>
                <w:rFonts w:ascii="Arial" w:hAnsi="Arial" w:cs="Arial"/>
              </w:rPr>
              <w:t xml:space="preserve"> 48 peaks lähtuma sellest, kas raamlepingu alusel on tuletistehing lõpetatud (</w:t>
            </w:r>
            <w:proofErr w:type="spellStart"/>
            <w:r w:rsidRPr="00187608">
              <w:rPr>
                <w:rFonts w:ascii="Arial" w:hAnsi="Arial" w:cs="Arial"/>
              </w:rPr>
              <w:t>PankrS</w:t>
            </w:r>
            <w:proofErr w:type="spellEnd"/>
            <w:r w:rsidRPr="00187608">
              <w:rPr>
                <w:rFonts w:ascii="Arial" w:hAnsi="Arial" w:cs="Arial"/>
              </w:rPr>
              <w:t xml:space="preserve"> ei sekku ja haldur peab sellest lähtuma) või mitte (kohaldub § 42 ja sellisel juhul on valik, kas haldur peab lähtuma raamlepingu tingimustest või on </w:t>
            </w:r>
            <w:proofErr w:type="spellStart"/>
            <w:r w:rsidRPr="00187608">
              <w:rPr>
                <w:rFonts w:ascii="Arial" w:hAnsi="Arial" w:cs="Arial"/>
              </w:rPr>
              <w:t>PankrS</w:t>
            </w:r>
            <w:proofErr w:type="spellEnd"/>
            <w:r w:rsidRPr="00187608">
              <w:rPr>
                <w:rFonts w:ascii="Arial" w:hAnsi="Arial" w:cs="Arial"/>
              </w:rPr>
              <w:t xml:space="preserve">-s erikord (praegu lõikes 3) nõude suuruse määramiseks ja </w:t>
            </w:r>
            <w:proofErr w:type="spellStart"/>
            <w:r w:rsidRPr="00187608">
              <w:rPr>
                <w:rFonts w:ascii="Arial" w:hAnsi="Arial" w:cs="Arial"/>
              </w:rPr>
              <w:t>cherry-pickimise</w:t>
            </w:r>
            <w:proofErr w:type="spellEnd"/>
            <w:r w:rsidRPr="00187608">
              <w:rPr>
                <w:rFonts w:ascii="Arial" w:hAnsi="Arial" w:cs="Arial"/>
              </w:rPr>
              <w:t xml:space="preserve"> välistamiseks (lg 1).</w:t>
            </w:r>
          </w:p>
          <w:p w14:paraId="2FEA66C0" w14:textId="51DABC22" w:rsidR="00BA5E45" w:rsidRPr="00BA5E45" w:rsidRDefault="00BA5E45" w:rsidP="00BA5E45">
            <w:pPr>
              <w:pStyle w:val="SLONormal"/>
              <w:spacing w:before="0"/>
              <w:rPr>
                <w:rFonts w:ascii="Arial" w:hAnsi="Arial" w:cs="Arial"/>
                <w:lang w:val="et-EE"/>
              </w:rPr>
            </w:pPr>
            <w:r w:rsidRPr="00BA5E45">
              <w:rPr>
                <w:rFonts w:ascii="Arial" w:hAnsi="Arial" w:cs="Arial"/>
                <w:lang w:val="et-EE"/>
              </w:rPr>
              <w:t xml:space="preserve">Väärib märkimist, et rahvusvahelises praktikas on Eesti puhul </w:t>
            </w:r>
            <w:proofErr w:type="spellStart"/>
            <w:r w:rsidRPr="00BA5E45">
              <w:rPr>
                <w:rFonts w:ascii="Arial" w:hAnsi="Arial" w:cs="Arial"/>
                <w:lang w:val="et-EE"/>
              </w:rPr>
              <w:t>PankrS</w:t>
            </w:r>
            <w:proofErr w:type="spellEnd"/>
            <w:r w:rsidRPr="00BA5E45">
              <w:rPr>
                <w:rFonts w:ascii="Arial" w:hAnsi="Arial" w:cs="Arial"/>
                <w:lang w:val="et-EE"/>
              </w:rPr>
              <w:t xml:space="preserve"> § 48 puhul tegemist ühe enim küsimusi ja küsitavusi tekitava sättega seoses rahvusvahelistes raamlepingutes kokkulepitava  lõpetamisel toimuva tasaarvestamise (</w:t>
            </w:r>
            <w:proofErr w:type="spellStart"/>
            <w:r w:rsidRPr="00BA5E45">
              <w:rPr>
                <w:rFonts w:ascii="Arial" w:hAnsi="Arial" w:cs="Arial"/>
                <w:i/>
                <w:iCs/>
                <w:lang w:val="et-EE"/>
              </w:rPr>
              <w:t>close-out</w:t>
            </w:r>
            <w:proofErr w:type="spellEnd"/>
            <w:r w:rsidRPr="00BA5E45">
              <w:rPr>
                <w:rFonts w:ascii="Arial" w:hAnsi="Arial" w:cs="Arial"/>
                <w:i/>
                <w:iCs/>
                <w:lang w:val="et-EE"/>
              </w:rPr>
              <w:t xml:space="preserve"> netting</w:t>
            </w:r>
            <w:r w:rsidRPr="00BA5E45">
              <w:rPr>
                <w:rFonts w:ascii="Arial" w:hAnsi="Arial" w:cs="Arial"/>
                <w:lang w:val="et-EE"/>
              </w:rPr>
              <w:t>) kokkuleppega, mistõttu on väga oluline, et seaduse tekstist tuleks selgelt välja, et kvalifitseeruva finantstehingu puhul toimub tasaarvestus vastavalt tasaarvestuskokkuleppe tingimustele.</w:t>
            </w:r>
          </w:p>
        </w:tc>
      </w:tr>
      <w:tr w:rsidR="00BA5E45" w:rsidRPr="00187608" w14:paraId="791905A1" w14:textId="77777777" w:rsidTr="00D15A6C">
        <w:tc>
          <w:tcPr>
            <w:tcW w:w="2263" w:type="dxa"/>
          </w:tcPr>
          <w:p w14:paraId="68AAFFC6" w14:textId="6E2A207E" w:rsidR="00BA5E45" w:rsidRPr="00187608" w:rsidRDefault="00BA5E45" w:rsidP="00D15A6C">
            <w:pPr>
              <w:pStyle w:val="SLONormal"/>
              <w:spacing w:before="0"/>
              <w:rPr>
                <w:rFonts w:ascii="Arial" w:hAnsi="Arial" w:cs="Arial"/>
                <w:lang w:val="et-EE"/>
              </w:rPr>
            </w:pPr>
            <w:proofErr w:type="spellStart"/>
            <w:r w:rsidRPr="00187608">
              <w:rPr>
                <w:rFonts w:ascii="Arial" w:hAnsi="Arial" w:cs="Arial"/>
              </w:rPr>
              <w:t>Eelnõu</w:t>
            </w:r>
            <w:proofErr w:type="spellEnd"/>
            <w:r w:rsidRPr="00187608">
              <w:rPr>
                <w:rFonts w:ascii="Arial" w:hAnsi="Arial" w:cs="Arial"/>
              </w:rPr>
              <w:t xml:space="preserve"> § 9 p 8 – </w:t>
            </w:r>
            <w:proofErr w:type="spellStart"/>
            <w:r w:rsidRPr="00187608">
              <w:rPr>
                <w:rFonts w:ascii="Arial" w:hAnsi="Arial" w:cs="Arial"/>
              </w:rPr>
              <w:t>PankrS</w:t>
            </w:r>
            <w:proofErr w:type="spellEnd"/>
            <w:r w:rsidRPr="00187608">
              <w:rPr>
                <w:rFonts w:ascii="Arial" w:hAnsi="Arial" w:cs="Arial"/>
              </w:rPr>
              <w:t xml:space="preserve"> § 99</w:t>
            </w:r>
          </w:p>
        </w:tc>
        <w:tc>
          <w:tcPr>
            <w:tcW w:w="6799" w:type="dxa"/>
          </w:tcPr>
          <w:p w14:paraId="6DDE2154" w14:textId="77777777" w:rsidR="00BA5E45" w:rsidRPr="00187608" w:rsidRDefault="00BA5E45" w:rsidP="00BA5E45">
            <w:pPr>
              <w:spacing w:after="120" w:line="240" w:lineRule="auto"/>
              <w:rPr>
                <w:rFonts w:ascii="Arial" w:hAnsi="Arial" w:cs="Arial"/>
              </w:rPr>
            </w:pPr>
            <w:r w:rsidRPr="00187608">
              <w:rPr>
                <w:rFonts w:ascii="Arial" w:hAnsi="Arial" w:cs="Arial"/>
              </w:rPr>
              <w:t xml:space="preserve">Ettepanek on muuta </w:t>
            </w:r>
            <w:proofErr w:type="spellStart"/>
            <w:r w:rsidRPr="00187608">
              <w:rPr>
                <w:rFonts w:ascii="Arial" w:hAnsi="Arial" w:cs="Arial"/>
              </w:rPr>
              <w:t>PankrS</w:t>
            </w:r>
            <w:proofErr w:type="spellEnd"/>
            <w:r w:rsidRPr="00187608">
              <w:rPr>
                <w:rFonts w:ascii="Arial" w:hAnsi="Arial" w:cs="Arial"/>
              </w:rPr>
              <w:t xml:space="preserve"> § 99 lõike 2 esimest lauset selliselt, et viide </w:t>
            </w:r>
            <w:r w:rsidRPr="00187608">
              <w:rPr>
                <w:rFonts w:ascii="Arial" w:hAnsi="Arial" w:cs="Arial"/>
                <w:i/>
                <w:iCs/>
              </w:rPr>
              <w:t>võlgniku</w:t>
            </w:r>
            <w:r w:rsidRPr="00187608">
              <w:rPr>
                <w:rFonts w:ascii="Arial" w:hAnsi="Arial" w:cs="Arial"/>
              </w:rPr>
              <w:t xml:space="preserve"> nõudele asendatakse </w:t>
            </w:r>
            <w:r w:rsidRPr="00187608">
              <w:rPr>
                <w:rFonts w:ascii="Arial" w:hAnsi="Arial" w:cs="Arial"/>
                <w:i/>
                <w:iCs/>
              </w:rPr>
              <w:t>võlausaldaja</w:t>
            </w:r>
            <w:r w:rsidRPr="00187608">
              <w:rPr>
                <w:rFonts w:ascii="Arial" w:hAnsi="Arial" w:cs="Arial"/>
              </w:rPr>
              <w:t xml:space="preserve"> nõudega. Kehtiva õiguse sõnastus on järgmine:</w:t>
            </w:r>
          </w:p>
          <w:p w14:paraId="7DB1907E" w14:textId="77777777" w:rsidR="00BA5E45" w:rsidRPr="00187608" w:rsidRDefault="00BA5E45" w:rsidP="00BA5E45">
            <w:pPr>
              <w:spacing w:after="120" w:line="240" w:lineRule="auto"/>
              <w:rPr>
                <w:rFonts w:ascii="Arial" w:hAnsi="Arial" w:cs="Arial"/>
              </w:rPr>
            </w:pPr>
            <w:r w:rsidRPr="00187608">
              <w:rPr>
                <w:rFonts w:ascii="Arial" w:hAnsi="Arial" w:cs="Arial"/>
                <w:i/>
                <w:iCs/>
              </w:rPr>
              <w:t xml:space="preserve">Kui </w:t>
            </w:r>
            <w:r w:rsidRPr="00187608">
              <w:rPr>
                <w:rFonts w:ascii="Arial" w:hAnsi="Arial" w:cs="Arial"/>
                <w:i/>
                <w:iCs/>
                <w:u w:val="single"/>
              </w:rPr>
              <w:t>võlgniku</w:t>
            </w:r>
            <w:r w:rsidRPr="00187608">
              <w:rPr>
                <w:rFonts w:ascii="Arial" w:hAnsi="Arial" w:cs="Arial"/>
                <w:i/>
                <w:iCs/>
              </w:rPr>
              <w:t xml:space="preserve"> nõue oli pankroti väljakuulutamise ajal seotud edasilükkava tingimusega või kui </w:t>
            </w:r>
            <w:r w:rsidRPr="00187608">
              <w:rPr>
                <w:rFonts w:ascii="Arial" w:hAnsi="Arial" w:cs="Arial"/>
                <w:i/>
                <w:iCs/>
                <w:u w:val="single"/>
              </w:rPr>
              <w:t>võlgniku</w:t>
            </w:r>
            <w:r w:rsidRPr="00187608">
              <w:rPr>
                <w:rFonts w:ascii="Arial" w:hAnsi="Arial" w:cs="Arial"/>
                <w:i/>
                <w:iCs/>
              </w:rPr>
              <w:t xml:space="preserve"> nõue ei olnud pankroti väljakuulutamise hetkel veel sissenõutav või kui </w:t>
            </w:r>
            <w:r w:rsidRPr="00187608">
              <w:rPr>
                <w:rFonts w:ascii="Arial" w:hAnsi="Arial" w:cs="Arial"/>
                <w:i/>
                <w:iCs/>
                <w:u w:val="single"/>
              </w:rPr>
              <w:t>võlgniku</w:t>
            </w:r>
            <w:r w:rsidRPr="00187608">
              <w:rPr>
                <w:rFonts w:ascii="Arial" w:hAnsi="Arial" w:cs="Arial"/>
                <w:i/>
                <w:iCs/>
              </w:rPr>
              <w:t xml:space="preserve"> nõue ei ole suunatud samaliigiliste kohustuste täitmisele, saab nõude tasaarvestada alles siis, kui edasilükkav </w:t>
            </w:r>
            <w:r w:rsidRPr="00187608">
              <w:rPr>
                <w:rFonts w:ascii="Arial" w:hAnsi="Arial" w:cs="Arial"/>
                <w:i/>
                <w:iCs/>
              </w:rPr>
              <w:lastRenderedPageBreak/>
              <w:t xml:space="preserve">tingimus on saabunud, </w:t>
            </w:r>
            <w:r w:rsidRPr="00187608">
              <w:rPr>
                <w:rFonts w:ascii="Arial" w:hAnsi="Arial" w:cs="Arial"/>
                <w:i/>
                <w:iCs/>
                <w:u w:val="single"/>
              </w:rPr>
              <w:t>võlgniku</w:t>
            </w:r>
            <w:r w:rsidRPr="00187608">
              <w:rPr>
                <w:rFonts w:ascii="Arial" w:hAnsi="Arial" w:cs="Arial"/>
                <w:i/>
                <w:iCs/>
              </w:rPr>
              <w:t xml:space="preserve"> nõue on muutunud sissenõutavaks või kohustused on muutunud </w:t>
            </w:r>
            <w:proofErr w:type="spellStart"/>
            <w:r w:rsidRPr="00187608">
              <w:rPr>
                <w:rFonts w:ascii="Arial" w:hAnsi="Arial" w:cs="Arial"/>
                <w:i/>
                <w:iCs/>
              </w:rPr>
              <w:t>samaliigilisteks</w:t>
            </w:r>
            <w:proofErr w:type="spellEnd"/>
            <w:r w:rsidRPr="00187608">
              <w:rPr>
                <w:rFonts w:ascii="Arial" w:hAnsi="Arial" w:cs="Arial"/>
                <w:i/>
                <w:iCs/>
              </w:rPr>
              <w:t>. Tasaarvestus ei ole lubatud, kui võlgniku nõude edasilükkav tingimus saabub või nõue muutub sissenõutavaks enne, kui võlausaldaja saaks oma nõude tasaarvestada.</w:t>
            </w:r>
          </w:p>
          <w:p w14:paraId="20013114" w14:textId="3FBA36A4" w:rsidR="00BA5E45" w:rsidRPr="00187608" w:rsidRDefault="00BA5E45" w:rsidP="00BA5E45">
            <w:pPr>
              <w:spacing w:after="120" w:line="240" w:lineRule="auto"/>
              <w:rPr>
                <w:rFonts w:ascii="Arial" w:hAnsi="Arial" w:cs="Arial"/>
              </w:rPr>
            </w:pPr>
            <w:r w:rsidRPr="00187608">
              <w:rPr>
                <w:rFonts w:ascii="Arial" w:hAnsi="Arial" w:cs="Arial"/>
              </w:rPr>
              <w:t>Korrektne ja normi eesmärgiga on kooskõlas sõnastus, mis reguleerib võlausaldaja nõude tasaarvestamist. Seetõttu peaks lõike 2 esimes</w:t>
            </w:r>
            <w:r w:rsidR="00F20932">
              <w:rPr>
                <w:rFonts w:ascii="Arial" w:hAnsi="Arial" w:cs="Arial"/>
              </w:rPr>
              <w:t>t</w:t>
            </w:r>
            <w:r w:rsidRPr="00187608">
              <w:rPr>
                <w:rFonts w:ascii="Arial" w:hAnsi="Arial" w:cs="Arial"/>
              </w:rPr>
              <w:t>e lause</w:t>
            </w:r>
            <w:r w:rsidR="00F20932">
              <w:rPr>
                <w:rFonts w:ascii="Arial" w:hAnsi="Arial" w:cs="Arial"/>
              </w:rPr>
              <w:t>te</w:t>
            </w:r>
            <w:r w:rsidRPr="00187608">
              <w:rPr>
                <w:rFonts w:ascii="Arial" w:hAnsi="Arial" w:cs="Arial"/>
              </w:rPr>
              <w:t xml:space="preserve"> sõnastus olema järgmine:</w:t>
            </w:r>
          </w:p>
          <w:p w14:paraId="68C4971E" w14:textId="6B19F4E8" w:rsidR="00BA5E45" w:rsidRPr="00187608" w:rsidRDefault="00BA5E45" w:rsidP="00BA5E45">
            <w:pPr>
              <w:spacing w:after="120" w:line="240" w:lineRule="auto"/>
              <w:rPr>
                <w:rFonts w:ascii="Arial" w:hAnsi="Arial" w:cs="Arial"/>
              </w:rPr>
            </w:pPr>
            <w:r w:rsidRPr="00187608">
              <w:rPr>
                <w:rFonts w:ascii="Arial" w:hAnsi="Arial" w:cs="Arial"/>
                <w:i/>
                <w:iCs/>
              </w:rPr>
              <w:t xml:space="preserve">Kui </w:t>
            </w:r>
            <w:r w:rsidRPr="00187608">
              <w:rPr>
                <w:rFonts w:ascii="Arial" w:hAnsi="Arial" w:cs="Arial"/>
                <w:i/>
                <w:iCs/>
                <w:u w:val="single"/>
              </w:rPr>
              <w:t xml:space="preserve">võlausaldaja </w:t>
            </w:r>
            <w:r w:rsidRPr="00187608">
              <w:rPr>
                <w:rFonts w:ascii="Arial" w:hAnsi="Arial" w:cs="Arial"/>
                <w:i/>
                <w:iCs/>
              </w:rPr>
              <w:t xml:space="preserve">nõue oli pankroti väljakuulutamise ajal seotud edasilükkava tingimusega või kui </w:t>
            </w:r>
            <w:r w:rsidRPr="00187608">
              <w:rPr>
                <w:rFonts w:ascii="Arial" w:hAnsi="Arial" w:cs="Arial"/>
                <w:i/>
                <w:iCs/>
                <w:u w:val="single"/>
              </w:rPr>
              <w:t>võlausaldaja</w:t>
            </w:r>
            <w:r w:rsidRPr="00187608">
              <w:rPr>
                <w:rFonts w:ascii="Arial" w:hAnsi="Arial" w:cs="Arial"/>
                <w:i/>
                <w:iCs/>
              </w:rPr>
              <w:t xml:space="preserve"> nõue ei olnud pankroti väljakuulutamise hetkel veel sissenõutav või kui </w:t>
            </w:r>
            <w:r w:rsidRPr="00187608">
              <w:rPr>
                <w:rFonts w:ascii="Arial" w:hAnsi="Arial" w:cs="Arial"/>
                <w:i/>
                <w:iCs/>
                <w:u w:val="single"/>
              </w:rPr>
              <w:t>võlausaldaja</w:t>
            </w:r>
            <w:r w:rsidRPr="00187608">
              <w:rPr>
                <w:rFonts w:ascii="Arial" w:hAnsi="Arial" w:cs="Arial"/>
                <w:i/>
                <w:iCs/>
              </w:rPr>
              <w:t xml:space="preserve"> nõue ei ole suunatud samaliigiliste kohustuste täitmisele, saab nõude tasaarvestada alles siis, kui edasilükkav tingimus on saabunud, </w:t>
            </w:r>
            <w:r w:rsidRPr="00187608">
              <w:rPr>
                <w:rFonts w:ascii="Arial" w:hAnsi="Arial" w:cs="Arial"/>
                <w:i/>
                <w:iCs/>
                <w:u w:val="single"/>
              </w:rPr>
              <w:t>võlausaldaja</w:t>
            </w:r>
            <w:r w:rsidRPr="00187608">
              <w:rPr>
                <w:rFonts w:ascii="Arial" w:hAnsi="Arial" w:cs="Arial"/>
                <w:i/>
                <w:iCs/>
              </w:rPr>
              <w:t xml:space="preserve"> nõue on muutunud sissenõutavaks või kohustused on muutunud </w:t>
            </w:r>
            <w:proofErr w:type="spellStart"/>
            <w:r w:rsidRPr="00187608">
              <w:rPr>
                <w:rFonts w:ascii="Arial" w:hAnsi="Arial" w:cs="Arial"/>
                <w:i/>
                <w:iCs/>
              </w:rPr>
              <w:t>samaliigilisteks</w:t>
            </w:r>
            <w:proofErr w:type="spellEnd"/>
            <w:r w:rsidRPr="00187608">
              <w:rPr>
                <w:rFonts w:ascii="Arial" w:hAnsi="Arial" w:cs="Arial"/>
                <w:i/>
                <w:iCs/>
              </w:rPr>
              <w:t>.</w:t>
            </w:r>
            <w:r w:rsidR="00F20932">
              <w:rPr>
                <w:rFonts w:ascii="Arial" w:hAnsi="Arial" w:cs="Arial"/>
                <w:i/>
                <w:iCs/>
              </w:rPr>
              <w:t xml:space="preserve"> </w:t>
            </w:r>
            <w:bookmarkStart w:id="0" w:name="_Hlk174985534"/>
            <w:r w:rsidR="00F20932" w:rsidRPr="00F20932">
              <w:rPr>
                <w:rFonts w:ascii="Arial" w:hAnsi="Arial" w:cs="Arial"/>
                <w:i/>
                <w:iCs/>
              </w:rPr>
              <w:t>Võlausaldaja nõude suhtes</w:t>
            </w:r>
            <w:r w:rsidR="00F20932">
              <w:rPr>
                <w:rFonts w:ascii="Arial" w:hAnsi="Arial" w:cs="Arial"/>
                <w:i/>
                <w:iCs/>
              </w:rPr>
              <w:t xml:space="preserve"> käesoleva seaduse</w:t>
            </w:r>
            <w:r w:rsidR="00F20932" w:rsidRPr="00F20932">
              <w:rPr>
                <w:rFonts w:ascii="Arial" w:hAnsi="Arial" w:cs="Arial"/>
                <w:i/>
                <w:iCs/>
              </w:rPr>
              <w:t xml:space="preserve"> § 42 ei kohaldu. Tasaarvestus ei ole lubatud, kui võlgniku nõude edasilükkav tingimus saabub või nõue muutub sissenõutavaks enne, kui võlausaldaja saaks oma nõude tasaarvestada.</w:t>
            </w:r>
            <w:bookmarkEnd w:id="0"/>
          </w:p>
          <w:p w14:paraId="58E64558" w14:textId="77777777" w:rsidR="00BA5E45" w:rsidRPr="00187608" w:rsidRDefault="00BA5E45" w:rsidP="00BA5E45">
            <w:pPr>
              <w:spacing w:after="120" w:line="240" w:lineRule="auto"/>
              <w:rPr>
                <w:rFonts w:ascii="Arial" w:hAnsi="Arial" w:cs="Arial"/>
              </w:rPr>
            </w:pPr>
            <w:r w:rsidRPr="00187608">
              <w:rPr>
                <w:rFonts w:ascii="Arial" w:hAnsi="Arial" w:cs="Arial"/>
              </w:rPr>
              <w:t xml:space="preserve">Tegemist pole otseselt </w:t>
            </w:r>
            <w:proofErr w:type="spellStart"/>
            <w:r w:rsidRPr="00187608">
              <w:rPr>
                <w:rFonts w:ascii="Arial" w:hAnsi="Arial" w:cs="Arial"/>
                <w:i/>
                <w:iCs/>
              </w:rPr>
              <w:t>close-out</w:t>
            </w:r>
            <w:proofErr w:type="spellEnd"/>
            <w:r w:rsidRPr="00187608">
              <w:rPr>
                <w:rFonts w:ascii="Arial" w:hAnsi="Arial" w:cs="Arial"/>
                <w:i/>
                <w:iCs/>
              </w:rPr>
              <w:t xml:space="preserve"> netting</w:t>
            </w:r>
            <w:r w:rsidRPr="00187608">
              <w:rPr>
                <w:rFonts w:ascii="Arial" w:hAnsi="Arial" w:cs="Arial"/>
              </w:rPr>
              <w:t>u teemaga ja puudutab tasaarvestust pankrotimenetluses üldiselt.</w:t>
            </w:r>
          </w:p>
          <w:p w14:paraId="0323379C" w14:textId="77777777" w:rsidR="00BA5E45" w:rsidRPr="00187608" w:rsidRDefault="00BA5E45" w:rsidP="00D15A6C">
            <w:pPr>
              <w:pStyle w:val="SLONormal"/>
              <w:spacing w:before="0"/>
              <w:rPr>
                <w:rFonts w:ascii="Arial" w:hAnsi="Arial" w:cs="Arial"/>
                <w:lang w:val="et-EE"/>
              </w:rPr>
            </w:pPr>
          </w:p>
        </w:tc>
      </w:tr>
      <w:tr w:rsidR="00DE58F6" w:rsidRPr="00187608" w14:paraId="2A26F9B3" w14:textId="77777777" w:rsidTr="00D15A6C">
        <w:tc>
          <w:tcPr>
            <w:tcW w:w="2263" w:type="dxa"/>
          </w:tcPr>
          <w:p w14:paraId="38C43E1C" w14:textId="4E063F9C" w:rsidR="00DE58F6" w:rsidRPr="00187608" w:rsidRDefault="00DE58F6" w:rsidP="00D15A6C">
            <w:pPr>
              <w:pStyle w:val="SLONormal"/>
              <w:spacing w:before="0"/>
              <w:rPr>
                <w:rFonts w:ascii="Arial" w:hAnsi="Arial" w:cs="Arial"/>
              </w:rPr>
            </w:pPr>
            <w:proofErr w:type="spellStart"/>
            <w:r>
              <w:rPr>
                <w:rFonts w:ascii="Arial" w:hAnsi="Arial" w:cs="Arial"/>
              </w:rPr>
              <w:lastRenderedPageBreak/>
              <w:t>Eelnõu</w:t>
            </w:r>
            <w:proofErr w:type="spellEnd"/>
            <w:r>
              <w:rPr>
                <w:rFonts w:ascii="Arial" w:hAnsi="Arial" w:cs="Arial"/>
              </w:rPr>
              <w:t xml:space="preserve"> § 9 </w:t>
            </w:r>
            <w:proofErr w:type="spellStart"/>
            <w:r>
              <w:rPr>
                <w:rFonts w:ascii="Arial" w:hAnsi="Arial" w:cs="Arial"/>
              </w:rPr>
              <w:t>lg</w:t>
            </w:r>
            <w:proofErr w:type="spellEnd"/>
            <w:r>
              <w:rPr>
                <w:rFonts w:ascii="Arial" w:hAnsi="Arial" w:cs="Arial"/>
              </w:rPr>
              <w:t xml:space="preserve"> 10 – </w:t>
            </w:r>
            <w:proofErr w:type="spellStart"/>
            <w:r>
              <w:rPr>
                <w:rFonts w:ascii="Arial" w:hAnsi="Arial" w:cs="Arial"/>
              </w:rPr>
              <w:t>PankrS</w:t>
            </w:r>
            <w:proofErr w:type="spellEnd"/>
            <w:r>
              <w:rPr>
                <w:rFonts w:ascii="Arial" w:hAnsi="Arial" w:cs="Arial"/>
              </w:rPr>
              <w:t xml:space="preserve"> § 109 </w:t>
            </w:r>
            <w:proofErr w:type="spellStart"/>
            <w:r>
              <w:rPr>
                <w:rFonts w:ascii="Arial" w:hAnsi="Arial" w:cs="Arial"/>
              </w:rPr>
              <w:t>täiendamine</w:t>
            </w:r>
            <w:proofErr w:type="spellEnd"/>
          </w:p>
        </w:tc>
        <w:tc>
          <w:tcPr>
            <w:tcW w:w="6799" w:type="dxa"/>
          </w:tcPr>
          <w:p w14:paraId="5B8F7922" w14:textId="7BBBD886" w:rsidR="00DE58F6" w:rsidRPr="00187608" w:rsidRDefault="00DE58F6" w:rsidP="00BA5E45">
            <w:pPr>
              <w:spacing w:after="120" w:line="240" w:lineRule="auto"/>
              <w:rPr>
                <w:rFonts w:ascii="Arial" w:hAnsi="Arial" w:cs="Arial"/>
              </w:rPr>
            </w:pPr>
            <w:r>
              <w:rPr>
                <w:rFonts w:ascii="Arial" w:hAnsi="Arial" w:cs="Arial"/>
              </w:rPr>
              <w:t>Meie hinnangul tuleks hinnata</w:t>
            </w:r>
            <w:r w:rsidR="00DA4B45">
              <w:rPr>
                <w:rFonts w:ascii="Arial" w:hAnsi="Arial" w:cs="Arial"/>
              </w:rPr>
              <w:t>,</w:t>
            </w:r>
            <w:r>
              <w:rPr>
                <w:rFonts w:ascii="Arial" w:hAnsi="Arial" w:cs="Arial"/>
              </w:rPr>
              <w:t xml:space="preserve"> kas uue lõike 2</w:t>
            </w:r>
            <w:r>
              <w:rPr>
                <w:rFonts w:ascii="Arial" w:hAnsi="Arial" w:cs="Arial"/>
                <w:vertAlign w:val="superscript"/>
              </w:rPr>
              <w:t>1</w:t>
            </w:r>
            <w:r>
              <w:rPr>
                <w:rFonts w:ascii="Arial" w:hAnsi="Arial" w:cs="Arial"/>
              </w:rPr>
              <w:t xml:space="preserve"> punktid 1 ja 2 (mille kohaselt ei kohaldata </w:t>
            </w:r>
            <w:proofErr w:type="spellStart"/>
            <w:r>
              <w:rPr>
                <w:rFonts w:ascii="Arial" w:hAnsi="Arial" w:cs="Arial"/>
              </w:rPr>
              <w:t>PankrS</w:t>
            </w:r>
            <w:proofErr w:type="spellEnd"/>
            <w:r>
              <w:rPr>
                <w:rFonts w:ascii="Arial" w:hAnsi="Arial" w:cs="Arial"/>
              </w:rPr>
              <w:t xml:space="preserve">  109 lõikes 2 sätestatut „</w:t>
            </w:r>
            <w:r w:rsidRPr="00DE58F6">
              <w:rPr>
                <w:rFonts w:ascii="Arial" w:hAnsi="Arial" w:cs="Arial"/>
              </w:rPr>
              <w:t>finantstagatise kokkuleppe sõlmimisele, finantstagatise seadmisele</w:t>
            </w:r>
            <w:r>
              <w:rPr>
                <w:rFonts w:ascii="Arial" w:hAnsi="Arial" w:cs="Arial"/>
              </w:rPr>
              <w:t xml:space="preserve"> või</w:t>
            </w:r>
            <w:r w:rsidRPr="00DE58F6">
              <w:rPr>
                <w:rFonts w:ascii="Arial" w:hAnsi="Arial" w:cs="Arial"/>
              </w:rPr>
              <w:t xml:space="preserve"> täiendamisele</w:t>
            </w:r>
            <w:r>
              <w:rPr>
                <w:rFonts w:ascii="Arial" w:hAnsi="Arial" w:cs="Arial"/>
              </w:rPr>
              <w:t>“</w:t>
            </w:r>
            <w:r w:rsidRPr="00DE58F6">
              <w:rPr>
                <w:rFonts w:ascii="Arial" w:hAnsi="Arial" w:cs="Arial"/>
              </w:rPr>
              <w:t xml:space="preserve"> või</w:t>
            </w:r>
            <w:r>
              <w:rPr>
                <w:rFonts w:ascii="Arial" w:hAnsi="Arial" w:cs="Arial"/>
              </w:rPr>
              <w:t xml:space="preserve"> „t</w:t>
            </w:r>
            <w:r w:rsidRPr="00DE58F6">
              <w:rPr>
                <w:rFonts w:ascii="Arial" w:hAnsi="Arial" w:cs="Arial"/>
              </w:rPr>
              <w:t>agatislepingu sõlmimisele või tagatise andmisele, et tagada tasaarvestuskokkulepe</w:t>
            </w:r>
            <w:r>
              <w:rPr>
                <w:rFonts w:ascii="Arial" w:hAnsi="Arial" w:cs="Arial"/>
              </w:rPr>
              <w:t xml:space="preserve"> </w:t>
            </w:r>
            <w:r w:rsidRPr="00DE58F6">
              <w:rPr>
                <w:rFonts w:ascii="Arial" w:hAnsi="Arial" w:cs="Arial"/>
              </w:rPr>
              <w:t>väärtpaberituru seaduse § 229</w:t>
            </w:r>
            <w:r w:rsidR="008F2E55">
              <w:rPr>
                <w:rFonts w:ascii="Arial" w:hAnsi="Arial" w:cs="Arial"/>
                <w:vertAlign w:val="superscript"/>
              </w:rPr>
              <w:t>4</w:t>
            </w:r>
            <w:r w:rsidRPr="00DE58F6">
              <w:rPr>
                <w:rFonts w:ascii="Arial" w:hAnsi="Arial" w:cs="Arial"/>
              </w:rPr>
              <w:t xml:space="preserve"> lõike 1 tähenduses</w:t>
            </w:r>
            <w:r>
              <w:rPr>
                <w:rFonts w:ascii="Arial" w:hAnsi="Arial" w:cs="Arial"/>
              </w:rPr>
              <w:t xml:space="preserve">“) on kooskõlas EL direktiivi </w:t>
            </w:r>
            <w:r w:rsidR="00DA4B45" w:rsidRPr="00DA4B45">
              <w:rPr>
                <w:rFonts w:ascii="Arial" w:hAnsi="Arial" w:cs="Arial"/>
              </w:rPr>
              <w:t>2002/47/EÜ</w:t>
            </w:r>
            <w:r w:rsidR="00DA4B45">
              <w:rPr>
                <w:rFonts w:ascii="Arial" w:hAnsi="Arial" w:cs="Arial"/>
              </w:rPr>
              <w:t xml:space="preserve"> Art 4 punktiga 5. Viidatud Art 4 punkt 5 sätestab, et </w:t>
            </w:r>
            <w:r w:rsidR="00DA4B45" w:rsidRPr="00DA4B45">
              <w:rPr>
                <w:rFonts w:ascii="Arial" w:hAnsi="Arial" w:cs="Arial"/>
              </w:rPr>
              <w:t xml:space="preserve">Liikmesriigid tagavad, </w:t>
            </w:r>
            <w:r w:rsidR="00DA4B45" w:rsidRPr="00DA4B45">
              <w:rPr>
                <w:rFonts w:ascii="Arial" w:hAnsi="Arial" w:cs="Arial"/>
                <w:u w:val="single"/>
              </w:rPr>
              <w:t>et finantstagatiskokkulepe saab jõustuda selles sätestatud tingimustel</w:t>
            </w:r>
            <w:r w:rsidR="00DA4B45" w:rsidRPr="00DA4B45">
              <w:rPr>
                <w:rFonts w:ascii="Arial" w:hAnsi="Arial" w:cs="Arial"/>
              </w:rPr>
              <w:t>, olenemata likvideerimismenetluse või saneerimismeetmete algatamisest või jätkamisest tagatiseandja või saaja suhtes</w:t>
            </w:r>
            <w:r w:rsidR="00DA4B45">
              <w:rPr>
                <w:rFonts w:ascii="Arial" w:hAnsi="Arial" w:cs="Arial"/>
              </w:rPr>
              <w:t xml:space="preserve">. Ehk siis säte eesmärgiks on tagada juba sõlmitud finantstagatise kokkulepete jõustamine vaatamata maksejõuetus-, likvideerimis või saneerimismenetluse algatamisele, aga mitte pärast menetluse algatamist sõlmitavate kokkulepete kaitse. </w:t>
            </w:r>
            <w:r w:rsidR="008F2E55">
              <w:rPr>
                <w:rFonts w:ascii="Arial" w:hAnsi="Arial" w:cs="Arial"/>
              </w:rPr>
              <w:t>Antud vastuolu on võimalik lahendada jättes eelnõu § 109 lõike 2</w:t>
            </w:r>
            <w:r w:rsidR="008F2E55">
              <w:rPr>
                <w:rFonts w:ascii="Arial" w:hAnsi="Arial" w:cs="Arial"/>
                <w:vertAlign w:val="superscript"/>
              </w:rPr>
              <w:t>1</w:t>
            </w:r>
            <w:r w:rsidR="008F2E55">
              <w:rPr>
                <w:rFonts w:ascii="Arial" w:hAnsi="Arial" w:cs="Arial"/>
              </w:rPr>
              <w:t xml:space="preserve"> punktist 1 välja viited „finantstagatise sõlmimisele“ ning täiendades punkti 2 „„t</w:t>
            </w:r>
            <w:r w:rsidR="008F2E55" w:rsidRPr="00DE58F6">
              <w:rPr>
                <w:rFonts w:ascii="Arial" w:hAnsi="Arial" w:cs="Arial"/>
              </w:rPr>
              <w:t>agatislepingu sõlmimisele või tagatise andmisele,</w:t>
            </w:r>
            <w:r w:rsidR="008F2E55">
              <w:rPr>
                <w:rFonts w:ascii="Arial" w:hAnsi="Arial" w:cs="Arial"/>
              </w:rPr>
              <w:t xml:space="preserve"> </w:t>
            </w:r>
            <w:r w:rsidR="008F2E55" w:rsidRPr="008F2E55">
              <w:rPr>
                <w:rFonts w:ascii="Arial" w:hAnsi="Arial" w:cs="Arial"/>
                <w:u w:val="single"/>
              </w:rPr>
              <w:t>mis on ette nähtud väärtpaberituru seaduse § 229</w:t>
            </w:r>
            <w:r w:rsidR="008F2E55" w:rsidRPr="008F2E55">
              <w:rPr>
                <w:rFonts w:ascii="Arial" w:hAnsi="Arial" w:cs="Arial"/>
                <w:u w:val="single"/>
                <w:vertAlign w:val="superscript"/>
              </w:rPr>
              <w:t>3</w:t>
            </w:r>
            <w:r w:rsidR="008F2E55" w:rsidRPr="008F2E55">
              <w:rPr>
                <w:rFonts w:ascii="Arial" w:hAnsi="Arial" w:cs="Arial"/>
                <w:u w:val="single"/>
              </w:rPr>
              <w:t xml:space="preserve"> lõikes 1 ette nähtud kvalifitseeruva finantstehingu tingimustega,</w:t>
            </w:r>
            <w:r w:rsidR="008F2E55">
              <w:rPr>
                <w:rFonts w:ascii="Arial" w:hAnsi="Arial" w:cs="Arial"/>
              </w:rPr>
              <w:t xml:space="preserve"> </w:t>
            </w:r>
            <w:r w:rsidR="008F2E55" w:rsidRPr="00DE58F6">
              <w:rPr>
                <w:rFonts w:ascii="Arial" w:hAnsi="Arial" w:cs="Arial"/>
              </w:rPr>
              <w:t>et tagada tasaarvestuskokkulepe</w:t>
            </w:r>
            <w:r w:rsidR="008F2E55">
              <w:rPr>
                <w:rFonts w:ascii="Arial" w:hAnsi="Arial" w:cs="Arial"/>
              </w:rPr>
              <w:t xml:space="preserve"> </w:t>
            </w:r>
            <w:r w:rsidR="008F2E55" w:rsidRPr="00DE58F6">
              <w:rPr>
                <w:rFonts w:ascii="Arial" w:hAnsi="Arial" w:cs="Arial"/>
              </w:rPr>
              <w:t>väärtpaberituru seaduse § 229</w:t>
            </w:r>
            <w:r w:rsidR="008F2E55">
              <w:rPr>
                <w:rFonts w:ascii="Arial" w:hAnsi="Arial" w:cs="Arial"/>
                <w:vertAlign w:val="superscript"/>
              </w:rPr>
              <w:t>4</w:t>
            </w:r>
            <w:r w:rsidR="008F2E55" w:rsidRPr="00DE58F6">
              <w:rPr>
                <w:rFonts w:ascii="Arial" w:hAnsi="Arial" w:cs="Arial"/>
              </w:rPr>
              <w:t xml:space="preserve"> lõike 1 tähenduses</w:t>
            </w:r>
            <w:r w:rsidR="008F2E55">
              <w:rPr>
                <w:rFonts w:ascii="Arial" w:hAnsi="Arial" w:cs="Arial"/>
              </w:rPr>
              <w:t>“).</w:t>
            </w:r>
          </w:p>
        </w:tc>
      </w:tr>
    </w:tbl>
    <w:p w14:paraId="6CE459AA" w14:textId="77777777" w:rsidR="00BA5E45" w:rsidRPr="00187608" w:rsidRDefault="00BA5E45" w:rsidP="00187608">
      <w:pPr>
        <w:spacing w:after="120" w:line="240" w:lineRule="auto"/>
        <w:jc w:val="both"/>
        <w:rPr>
          <w:rFonts w:ascii="Arial" w:hAnsi="Arial" w:cs="Arial"/>
          <w:sz w:val="20"/>
          <w:szCs w:val="20"/>
          <w:u w:val="single"/>
        </w:rPr>
      </w:pPr>
    </w:p>
    <w:p w14:paraId="7B76BBCC" w14:textId="77777777" w:rsidR="00187608" w:rsidRPr="00187608" w:rsidRDefault="00187608" w:rsidP="00187608">
      <w:pPr>
        <w:spacing w:after="120" w:line="240" w:lineRule="auto"/>
        <w:jc w:val="both"/>
        <w:rPr>
          <w:rFonts w:ascii="Arial" w:hAnsi="Arial" w:cs="Arial"/>
          <w:sz w:val="20"/>
          <w:szCs w:val="20"/>
        </w:rPr>
      </w:pPr>
      <w:r w:rsidRPr="00187608">
        <w:rPr>
          <w:rFonts w:ascii="Arial" w:hAnsi="Arial" w:cs="Arial"/>
          <w:sz w:val="20"/>
          <w:szCs w:val="20"/>
        </w:rPr>
        <w:t>Lugupidamisega</w:t>
      </w:r>
    </w:p>
    <w:p w14:paraId="150F6A29" w14:textId="77777777" w:rsidR="00187608" w:rsidRPr="00187608" w:rsidRDefault="00187608" w:rsidP="00187608">
      <w:pPr>
        <w:spacing w:after="120" w:line="240" w:lineRule="auto"/>
        <w:jc w:val="both"/>
        <w:rPr>
          <w:rFonts w:ascii="Arial" w:hAnsi="Arial" w:cs="Arial"/>
          <w:sz w:val="20"/>
          <w:szCs w:val="20"/>
        </w:rPr>
      </w:pPr>
    </w:p>
    <w:p w14:paraId="0B6873D9" w14:textId="77777777" w:rsidR="00187608" w:rsidRPr="00187608" w:rsidRDefault="00187608" w:rsidP="00187608">
      <w:pPr>
        <w:spacing w:after="120" w:line="240" w:lineRule="auto"/>
        <w:jc w:val="both"/>
        <w:rPr>
          <w:rFonts w:ascii="Arial" w:hAnsi="Arial" w:cs="Arial"/>
          <w:sz w:val="20"/>
          <w:szCs w:val="20"/>
        </w:rPr>
      </w:pPr>
      <w:r w:rsidRPr="00187608">
        <w:rPr>
          <w:rFonts w:ascii="Arial" w:hAnsi="Arial" w:cs="Arial"/>
          <w:sz w:val="20"/>
          <w:szCs w:val="20"/>
        </w:rPr>
        <w:t>/allkirjastatud digitaalselt/</w:t>
      </w:r>
    </w:p>
    <w:p w14:paraId="41311437" w14:textId="77777777" w:rsidR="00187608" w:rsidRPr="00187608" w:rsidRDefault="00187608" w:rsidP="00187608">
      <w:pPr>
        <w:spacing w:after="120" w:line="240" w:lineRule="auto"/>
        <w:jc w:val="both"/>
        <w:rPr>
          <w:rFonts w:ascii="Arial" w:hAnsi="Arial" w:cs="Arial"/>
          <w:sz w:val="20"/>
          <w:szCs w:val="20"/>
        </w:rPr>
      </w:pPr>
    </w:p>
    <w:p w14:paraId="12E1474B" w14:textId="77777777" w:rsidR="00187608" w:rsidRPr="00187608" w:rsidRDefault="00187608" w:rsidP="00187608">
      <w:pPr>
        <w:spacing w:after="120" w:line="240" w:lineRule="auto"/>
        <w:jc w:val="both"/>
        <w:rPr>
          <w:rFonts w:ascii="Arial" w:hAnsi="Arial" w:cs="Arial"/>
          <w:sz w:val="20"/>
          <w:szCs w:val="20"/>
        </w:rPr>
      </w:pPr>
      <w:r w:rsidRPr="00187608">
        <w:rPr>
          <w:rFonts w:ascii="Arial" w:hAnsi="Arial" w:cs="Arial"/>
          <w:sz w:val="20"/>
          <w:szCs w:val="20"/>
        </w:rPr>
        <w:t>Kirsti Pent</w:t>
      </w:r>
    </w:p>
    <w:p w14:paraId="6778BC65" w14:textId="77777777" w:rsidR="00187608" w:rsidRPr="00187608" w:rsidRDefault="00187608" w:rsidP="00187608">
      <w:pPr>
        <w:spacing w:after="120" w:line="240" w:lineRule="auto"/>
        <w:jc w:val="both"/>
        <w:rPr>
          <w:rFonts w:ascii="Arial" w:hAnsi="Arial" w:cs="Arial"/>
          <w:sz w:val="20"/>
          <w:szCs w:val="20"/>
        </w:rPr>
      </w:pPr>
      <w:r w:rsidRPr="00187608">
        <w:rPr>
          <w:rFonts w:ascii="Arial" w:hAnsi="Arial" w:cs="Arial"/>
          <w:sz w:val="20"/>
          <w:szCs w:val="20"/>
        </w:rPr>
        <w:t>Eesti Advokatuuri finantsõiguse komisjoni esimees</w:t>
      </w:r>
    </w:p>
    <w:p w14:paraId="5F215F7A" w14:textId="77777777" w:rsidR="004C596A" w:rsidRPr="00187608" w:rsidRDefault="004C596A" w:rsidP="00187608">
      <w:pPr>
        <w:spacing w:after="120" w:line="240" w:lineRule="auto"/>
        <w:jc w:val="both"/>
        <w:rPr>
          <w:rFonts w:ascii="Arial" w:hAnsi="Arial" w:cs="Arial"/>
          <w:sz w:val="20"/>
          <w:szCs w:val="20"/>
        </w:rPr>
      </w:pPr>
    </w:p>
    <w:sectPr w:rsidR="004C596A" w:rsidRPr="0018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old">
    <w:altName w:val="Arial"/>
    <w:panose1 w:val="020B07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11958"/>
    <w:multiLevelType w:val="hybridMultilevel"/>
    <w:tmpl w:val="74CADD98"/>
    <w:lvl w:ilvl="0" w:tplc="E57A206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8A0D61"/>
    <w:multiLevelType w:val="hybridMultilevel"/>
    <w:tmpl w:val="6EB8F7C4"/>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F717E8D"/>
    <w:multiLevelType w:val="multilevel"/>
    <w:tmpl w:val="8CC4D1FE"/>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32D47A2"/>
    <w:multiLevelType w:val="hybridMultilevel"/>
    <w:tmpl w:val="1F0E9CC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284313788">
    <w:abstractNumId w:val="2"/>
  </w:num>
  <w:num w:numId="2" w16cid:durableId="1286891243">
    <w:abstractNumId w:val="3"/>
  </w:num>
  <w:num w:numId="3" w16cid:durableId="559554586">
    <w:abstractNumId w:val="1"/>
  </w:num>
  <w:num w:numId="4" w16cid:durableId="1794208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B"/>
    <w:rsid w:val="000210A7"/>
    <w:rsid w:val="00022749"/>
    <w:rsid w:val="00065A32"/>
    <w:rsid w:val="000708A6"/>
    <w:rsid w:val="000A03DB"/>
    <w:rsid w:val="000A380F"/>
    <w:rsid w:val="000C22F5"/>
    <w:rsid w:val="000C39C6"/>
    <w:rsid w:val="000C77B3"/>
    <w:rsid w:val="000D5D9F"/>
    <w:rsid w:val="000D6A3D"/>
    <w:rsid w:val="000E2A32"/>
    <w:rsid w:val="000E3BA2"/>
    <w:rsid w:val="00101D45"/>
    <w:rsid w:val="00106262"/>
    <w:rsid w:val="00106F65"/>
    <w:rsid w:val="001122CE"/>
    <w:rsid w:val="00116E92"/>
    <w:rsid w:val="00131F2F"/>
    <w:rsid w:val="00135B0F"/>
    <w:rsid w:val="00137AAA"/>
    <w:rsid w:val="00144C86"/>
    <w:rsid w:val="0015242E"/>
    <w:rsid w:val="00157E59"/>
    <w:rsid w:val="00164CCF"/>
    <w:rsid w:val="001720A9"/>
    <w:rsid w:val="00172DEA"/>
    <w:rsid w:val="0017541F"/>
    <w:rsid w:val="00187608"/>
    <w:rsid w:val="00191BEC"/>
    <w:rsid w:val="00192CC0"/>
    <w:rsid w:val="00193C0C"/>
    <w:rsid w:val="001950F7"/>
    <w:rsid w:val="001A167C"/>
    <w:rsid w:val="001C7599"/>
    <w:rsid w:val="001C7E7F"/>
    <w:rsid w:val="001D0169"/>
    <w:rsid w:val="001D497F"/>
    <w:rsid w:val="001D5178"/>
    <w:rsid w:val="001E4156"/>
    <w:rsid w:val="001E6987"/>
    <w:rsid w:val="001F146B"/>
    <w:rsid w:val="00200A0A"/>
    <w:rsid w:val="002239E5"/>
    <w:rsid w:val="002358AE"/>
    <w:rsid w:val="00240751"/>
    <w:rsid w:val="002447C9"/>
    <w:rsid w:val="002528EA"/>
    <w:rsid w:val="0025640A"/>
    <w:rsid w:val="002712A3"/>
    <w:rsid w:val="00272C5B"/>
    <w:rsid w:val="002802AB"/>
    <w:rsid w:val="00285105"/>
    <w:rsid w:val="0028792B"/>
    <w:rsid w:val="002A1D19"/>
    <w:rsid w:val="002B46F4"/>
    <w:rsid w:val="002C0626"/>
    <w:rsid w:val="002C555B"/>
    <w:rsid w:val="002D5AE8"/>
    <w:rsid w:val="002F70A8"/>
    <w:rsid w:val="002F7167"/>
    <w:rsid w:val="00301FBC"/>
    <w:rsid w:val="00302290"/>
    <w:rsid w:val="003236E9"/>
    <w:rsid w:val="00323FDB"/>
    <w:rsid w:val="00324ADF"/>
    <w:rsid w:val="003319EA"/>
    <w:rsid w:val="00336AB2"/>
    <w:rsid w:val="00343328"/>
    <w:rsid w:val="00344EEE"/>
    <w:rsid w:val="00356349"/>
    <w:rsid w:val="0035731D"/>
    <w:rsid w:val="00357CDB"/>
    <w:rsid w:val="0036418F"/>
    <w:rsid w:val="00365A69"/>
    <w:rsid w:val="00374844"/>
    <w:rsid w:val="00380A95"/>
    <w:rsid w:val="00392222"/>
    <w:rsid w:val="003B5D14"/>
    <w:rsid w:val="003C127D"/>
    <w:rsid w:val="003C40B6"/>
    <w:rsid w:val="003D4FF6"/>
    <w:rsid w:val="003D7401"/>
    <w:rsid w:val="003E38A1"/>
    <w:rsid w:val="003E410B"/>
    <w:rsid w:val="003F19DB"/>
    <w:rsid w:val="003F53BC"/>
    <w:rsid w:val="00401941"/>
    <w:rsid w:val="00426C22"/>
    <w:rsid w:val="00442419"/>
    <w:rsid w:val="00455D6D"/>
    <w:rsid w:val="0046373F"/>
    <w:rsid w:val="00463B06"/>
    <w:rsid w:val="00491A0F"/>
    <w:rsid w:val="00492BEE"/>
    <w:rsid w:val="004958B5"/>
    <w:rsid w:val="004A1589"/>
    <w:rsid w:val="004A5BB2"/>
    <w:rsid w:val="004B7478"/>
    <w:rsid w:val="004C4D43"/>
    <w:rsid w:val="004C596A"/>
    <w:rsid w:val="004D1FEC"/>
    <w:rsid w:val="004D5DD4"/>
    <w:rsid w:val="004D5FA6"/>
    <w:rsid w:val="004D7BA4"/>
    <w:rsid w:val="004F17E1"/>
    <w:rsid w:val="0050071C"/>
    <w:rsid w:val="00503FDB"/>
    <w:rsid w:val="00516677"/>
    <w:rsid w:val="00520668"/>
    <w:rsid w:val="00520DC3"/>
    <w:rsid w:val="00526C70"/>
    <w:rsid w:val="00532939"/>
    <w:rsid w:val="00537A2A"/>
    <w:rsid w:val="00543F93"/>
    <w:rsid w:val="005454BA"/>
    <w:rsid w:val="00550980"/>
    <w:rsid w:val="00553471"/>
    <w:rsid w:val="00553F2A"/>
    <w:rsid w:val="00560D3A"/>
    <w:rsid w:val="00567BEC"/>
    <w:rsid w:val="005907E9"/>
    <w:rsid w:val="005954FC"/>
    <w:rsid w:val="0059620C"/>
    <w:rsid w:val="005C1D3A"/>
    <w:rsid w:val="005C7474"/>
    <w:rsid w:val="005D01FB"/>
    <w:rsid w:val="005D1315"/>
    <w:rsid w:val="005F4C43"/>
    <w:rsid w:val="00617593"/>
    <w:rsid w:val="0063564B"/>
    <w:rsid w:val="00635E48"/>
    <w:rsid w:val="0064082A"/>
    <w:rsid w:val="0065480D"/>
    <w:rsid w:val="00673A2D"/>
    <w:rsid w:val="00674A55"/>
    <w:rsid w:val="00685657"/>
    <w:rsid w:val="00687668"/>
    <w:rsid w:val="00691295"/>
    <w:rsid w:val="006A2CD2"/>
    <w:rsid w:val="006E5604"/>
    <w:rsid w:val="006E6F0E"/>
    <w:rsid w:val="006F2EA9"/>
    <w:rsid w:val="006F77A9"/>
    <w:rsid w:val="0071124E"/>
    <w:rsid w:val="007177F2"/>
    <w:rsid w:val="00721D1D"/>
    <w:rsid w:val="007235EB"/>
    <w:rsid w:val="0072685E"/>
    <w:rsid w:val="0073055A"/>
    <w:rsid w:val="00736746"/>
    <w:rsid w:val="0073742D"/>
    <w:rsid w:val="00742D03"/>
    <w:rsid w:val="00745E2C"/>
    <w:rsid w:val="007562DC"/>
    <w:rsid w:val="00761BA7"/>
    <w:rsid w:val="0076234E"/>
    <w:rsid w:val="007C40C7"/>
    <w:rsid w:val="007F0CAD"/>
    <w:rsid w:val="007F4E49"/>
    <w:rsid w:val="007F67ED"/>
    <w:rsid w:val="007F6926"/>
    <w:rsid w:val="0080421F"/>
    <w:rsid w:val="00811C67"/>
    <w:rsid w:val="008236DC"/>
    <w:rsid w:val="00824E67"/>
    <w:rsid w:val="0083349C"/>
    <w:rsid w:val="00834395"/>
    <w:rsid w:val="00835446"/>
    <w:rsid w:val="00836FF7"/>
    <w:rsid w:val="00842ECA"/>
    <w:rsid w:val="008440C7"/>
    <w:rsid w:val="00850F15"/>
    <w:rsid w:val="00853486"/>
    <w:rsid w:val="008577AB"/>
    <w:rsid w:val="0087112C"/>
    <w:rsid w:val="0087644C"/>
    <w:rsid w:val="008861EA"/>
    <w:rsid w:val="008921BE"/>
    <w:rsid w:val="008935A6"/>
    <w:rsid w:val="008A2AD6"/>
    <w:rsid w:val="008A33EA"/>
    <w:rsid w:val="008A46E5"/>
    <w:rsid w:val="008B3688"/>
    <w:rsid w:val="008B5CEB"/>
    <w:rsid w:val="008E7FA3"/>
    <w:rsid w:val="008F2E55"/>
    <w:rsid w:val="008F4496"/>
    <w:rsid w:val="009113F3"/>
    <w:rsid w:val="00925B74"/>
    <w:rsid w:val="00925E85"/>
    <w:rsid w:val="00931B4C"/>
    <w:rsid w:val="00940056"/>
    <w:rsid w:val="009420F0"/>
    <w:rsid w:val="009462BB"/>
    <w:rsid w:val="00950116"/>
    <w:rsid w:val="00953C63"/>
    <w:rsid w:val="00960CB9"/>
    <w:rsid w:val="00965E36"/>
    <w:rsid w:val="00975E41"/>
    <w:rsid w:val="00977A6D"/>
    <w:rsid w:val="0098352E"/>
    <w:rsid w:val="00987C16"/>
    <w:rsid w:val="0099641F"/>
    <w:rsid w:val="009A1D79"/>
    <w:rsid w:val="009A3D80"/>
    <w:rsid w:val="009A59B3"/>
    <w:rsid w:val="009C3BCD"/>
    <w:rsid w:val="009E3882"/>
    <w:rsid w:val="009E7A7D"/>
    <w:rsid w:val="00A170FE"/>
    <w:rsid w:val="00A43FC0"/>
    <w:rsid w:val="00A73BA0"/>
    <w:rsid w:val="00A743C8"/>
    <w:rsid w:val="00A75484"/>
    <w:rsid w:val="00A832FD"/>
    <w:rsid w:val="00A86E78"/>
    <w:rsid w:val="00A91C5D"/>
    <w:rsid w:val="00AA0AE0"/>
    <w:rsid w:val="00AA211A"/>
    <w:rsid w:val="00AA4E95"/>
    <w:rsid w:val="00AD4778"/>
    <w:rsid w:val="00AD627B"/>
    <w:rsid w:val="00AE5A4B"/>
    <w:rsid w:val="00AE5CDA"/>
    <w:rsid w:val="00AE73F4"/>
    <w:rsid w:val="00B029DB"/>
    <w:rsid w:val="00B14F48"/>
    <w:rsid w:val="00B155D8"/>
    <w:rsid w:val="00B232CB"/>
    <w:rsid w:val="00B2622A"/>
    <w:rsid w:val="00B31E84"/>
    <w:rsid w:val="00B3655C"/>
    <w:rsid w:val="00B36768"/>
    <w:rsid w:val="00B37108"/>
    <w:rsid w:val="00B46FDD"/>
    <w:rsid w:val="00B510AD"/>
    <w:rsid w:val="00B659B0"/>
    <w:rsid w:val="00B72CFC"/>
    <w:rsid w:val="00B8031B"/>
    <w:rsid w:val="00B92EBE"/>
    <w:rsid w:val="00B96A59"/>
    <w:rsid w:val="00BA3890"/>
    <w:rsid w:val="00BA5E45"/>
    <w:rsid w:val="00BA7063"/>
    <w:rsid w:val="00BC2D29"/>
    <w:rsid w:val="00BC3E19"/>
    <w:rsid w:val="00BC48AD"/>
    <w:rsid w:val="00BD6D13"/>
    <w:rsid w:val="00BE0DFD"/>
    <w:rsid w:val="00BE650C"/>
    <w:rsid w:val="00C02694"/>
    <w:rsid w:val="00C11F38"/>
    <w:rsid w:val="00C136A2"/>
    <w:rsid w:val="00C14CC7"/>
    <w:rsid w:val="00C15D94"/>
    <w:rsid w:val="00C23A67"/>
    <w:rsid w:val="00C2520D"/>
    <w:rsid w:val="00C44E4D"/>
    <w:rsid w:val="00C50584"/>
    <w:rsid w:val="00C530C2"/>
    <w:rsid w:val="00C57A08"/>
    <w:rsid w:val="00C72692"/>
    <w:rsid w:val="00C75261"/>
    <w:rsid w:val="00C902B4"/>
    <w:rsid w:val="00CA17C0"/>
    <w:rsid w:val="00CA3FCE"/>
    <w:rsid w:val="00CC5976"/>
    <w:rsid w:val="00CF29F9"/>
    <w:rsid w:val="00CF6FFC"/>
    <w:rsid w:val="00D01AAD"/>
    <w:rsid w:val="00D060F9"/>
    <w:rsid w:val="00D3219E"/>
    <w:rsid w:val="00D32E3F"/>
    <w:rsid w:val="00D4253B"/>
    <w:rsid w:val="00D433C6"/>
    <w:rsid w:val="00D44BA7"/>
    <w:rsid w:val="00D47FF3"/>
    <w:rsid w:val="00D55979"/>
    <w:rsid w:val="00D563C2"/>
    <w:rsid w:val="00D63168"/>
    <w:rsid w:val="00D64FCC"/>
    <w:rsid w:val="00D77B88"/>
    <w:rsid w:val="00D85FBD"/>
    <w:rsid w:val="00D93F60"/>
    <w:rsid w:val="00D96C11"/>
    <w:rsid w:val="00DA2782"/>
    <w:rsid w:val="00DA4B45"/>
    <w:rsid w:val="00DB492F"/>
    <w:rsid w:val="00DC1701"/>
    <w:rsid w:val="00DC553A"/>
    <w:rsid w:val="00DC6BE5"/>
    <w:rsid w:val="00DD15AD"/>
    <w:rsid w:val="00DE58F6"/>
    <w:rsid w:val="00DE5C40"/>
    <w:rsid w:val="00DF1CE9"/>
    <w:rsid w:val="00DF43C0"/>
    <w:rsid w:val="00E058A4"/>
    <w:rsid w:val="00E068BC"/>
    <w:rsid w:val="00E06C4A"/>
    <w:rsid w:val="00E22FD1"/>
    <w:rsid w:val="00E2658A"/>
    <w:rsid w:val="00E3008F"/>
    <w:rsid w:val="00E31FC4"/>
    <w:rsid w:val="00E458D2"/>
    <w:rsid w:val="00E53A47"/>
    <w:rsid w:val="00E57DA1"/>
    <w:rsid w:val="00E7500B"/>
    <w:rsid w:val="00E7723D"/>
    <w:rsid w:val="00E81804"/>
    <w:rsid w:val="00E83878"/>
    <w:rsid w:val="00E8666B"/>
    <w:rsid w:val="00E93046"/>
    <w:rsid w:val="00E94B42"/>
    <w:rsid w:val="00EA1081"/>
    <w:rsid w:val="00EB7BBC"/>
    <w:rsid w:val="00EF13AA"/>
    <w:rsid w:val="00EF3E14"/>
    <w:rsid w:val="00F02BDD"/>
    <w:rsid w:val="00F20932"/>
    <w:rsid w:val="00F23555"/>
    <w:rsid w:val="00F60284"/>
    <w:rsid w:val="00F60797"/>
    <w:rsid w:val="00F71DE3"/>
    <w:rsid w:val="00F95539"/>
    <w:rsid w:val="00FC08B3"/>
    <w:rsid w:val="00FC1567"/>
    <w:rsid w:val="00FC6392"/>
    <w:rsid w:val="00FE75EA"/>
    <w:rsid w:val="00FF0E33"/>
    <w:rsid w:val="00FF5D96"/>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5E8A"/>
  <w15:chartTrackingRefBased/>
  <w15:docId w15:val="{09CB7665-FC30-4F27-8C5E-10192335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156"/>
  </w:style>
  <w:style w:type="paragraph" w:styleId="Heading1">
    <w:name w:val="heading 1"/>
    <w:basedOn w:val="Normal"/>
    <w:next w:val="Normal"/>
    <w:link w:val="Heading1Char"/>
    <w:uiPriority w:val="9"/>
    <w:qFormat/>
    <w:rsid w:val="001F14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14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14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14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14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14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14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14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14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4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14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14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14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14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14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4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4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46B"/>
    <w:rPr>
      <w:rFonts w:eastAsiaTheme="majorEastAsia" w:cstheme="majorBidi"/>
      <w:color w:val="272727" w:themeColor="text1" w:themeTint="D8"/>
    </w:rPr>
  </w:style>
  <w:style w:type="paragraph" w:styleId="Title">
    <w:name w:val="Title"/>
    <w:basedOn w:val="Normal"/>
    <w:next w:val="Normal"/>
    <w:link w:val="TitleChar"/>
    <w:uiPriority w:val="10"/>
    <w:qFormat/>
    <w:rsid w:val="001F14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4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4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4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46B"/>
    <w:pPr>
      <w:spacing w:before="160"/>
      <w:jc w:val="center"/>
    </w:pPr>
    <w:rPr>
      <w:i/>
      <w:iCs/>
      <w:color w:val="404040" w:themeColor="text1" w:themeTint="BF"/>
    </w:rPr>
  </w:style>
  <w:style w:type="character" w:customStyle="1" w:styleId="QuoteChar">
    <w:name w:val="Quote Char"/>
    <w:basedOn w:val="DefaultParagraphFont"/>
    <w:link w:val="Quote"/>
    <w:uiPriority w:val="29"/>
    <w:rsid w:val="001F146B"/>
    <w:rPr>
      <w:i/>
      <w:iCs/>
      <w:color w:val="404040" w:themeColor="text1" w:themeTint="BF"/>
    </w:rPr>
  </w:style>
  <w:style w:type="paragraph" w:styleId="ListParagraph">
    <w:name w:val="List Paragraph"/>
    <w:basedOn w:val="Normal"/>
    <w:uiPriority w:val="18"/>
    <w:qFormat/>
    <w:rsid w:val="001F146B"/>
    <w:pPr>
      <w:ind w:left="720"/>
      <w:contextualSpacing/>
    </w:pPr>
  </w:style>
  <w:style w:type="character" w:styleId="IntenseEmphasis">
    <w:name w:val="Intense Emphasis"/>
    <w:basedOn w:val="DefaultParagraphFont"/>
    <w:uiPriority w:val="21"/>
    <w:qFormat/>
    <w:rsid w:val="001F146B"/>
    <w:rPr>
      <w:i/>
      <w:iCs/>
      <w:color w:val="0F4761" w:themeColor="accent1" w:themeShade="BF"/>
    </w:rPr>
  </w:style>
  <w:style w:type="paragraph" w:styleId="IntenseQuote">
    <w:name w:val="Intense Quote"/>
    <w:basedOn w:val="Normal"/>
    <w:next w:val="Normal"/>
    <w:link w:val="IntenseQuoteChar"/>
    <w:uiPriority w:val="30"/>
    <w:qFormat/>
    <w:rsid w:val="001F14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146B"/>
    <w:rPr>
      <w:i/>
      <w:iCs/>
      <w:color w:val="0F4761" w:themeColor="accent1" w:themeShade="BF"/>
    </w:rPr>
  </w:style>
  <w:style w:type="character" w:styleId="IntenseReference">
    <w:name w:val="Intense Reference"/>
    <w:basedOn w:val="DefaultParagraphFont"/>
    <w:uiPriority w:val="32"/>
    <w:qFormat/>
    <w:rsid w:val="001F146B"/>
    <w:rPr>
      <w:b/>
      <w:bCs/>
      <w:smallCaps/>
      <w:color w:val="0F4761" w:themeColor="accent1" w:themeShade="BF"/>
      <w:spacing w:val="5"/>
    </w:rPr>
  </w:style>
  <w:style w:type="character" w:styleId="CommentReference">
    <w:name w:val="annotation reference"/>
    <w:basedOn w:val="DefaultParagraphFont"/>
    <w:uiPriority w:val="99"/>
    <w:semiHidden/>
    <w:unhideWhenUsed/>
    <w:rsid w:val="00344EEE"/>
    <w:rPr>
      <w:sz w:val="16"/>
      <w:szCs w:val="16"/>
    </w:rPr>
  </w:style>
  <w:style w:type="paragraph" w:styleId="CommentText">
    <w:name w:val="annotation text"/>
    <w:basedOn w:val="Normal"/>
    <w:link w:val="CommentTextChar"/>
    <w:uiPriority w:val="99"/>
    <w:unhideWhenUsed/>
    <w:rsid w:val="00344EEE"/>
    <w:pPr>
      <w:spacing w:line="240" w:lineRule="auto"/>
    </w:pPr>
    <w:rPr>
      <w:sz w:val="20"/>
      <w:szCs w:val="20"/>
    </w:rPr>
  </w:style>
  <w:style w:type="character" w:customStyle="1" w:styleId="CommentTextChar">
    <w:name w:val="Comment Text Char"/>
    <w:basedOn w:val="DefaultParagraphFont"/>
    <w:link w:val="CommentText"/>
    <w:uiPriority w:val="99"/>
    <w:rsid w:val="00344EEE"/>
    <w:rPr>
      <w:sz w:val="20"/>
      <w:szCs w:val="20"/>
    </w:rPr>
  </w:style>
  <w:style w:type="paragraph" w:styleId="CommentSubject">
    <w:name w:val="annotation subject"/>
    <w:basedOn w:val="CommentText"/>
    <w:next w:val="CommentText"/>
    <w:link w:val="CommentSubjectChar"/>
    <w:uiPriority w:val="99"/>
    <w:semiHidden/>
    <w:unhideWhenUsed/>
    <w:rsid w:val="00344EEE"/>
    <w:rPr>
      <w:b/>
      <w:bCs/>
    </w:rPr>
  </w:style>
  <w:style w:type="character" w:customStyle="1" w:styleId="CommentSubjectChar">
    <w:name w:val="Comment Subject Char"/>
    <w:basedOn w:val="CommentTextChar"/>
    <w:link w:val="CommentSubject"/>
    <w:uiPriority w:val="99"/>
    <w:semiHidden/>
    <w:rsid w:val="00344EEE"/>
    <w:rPr>
      <w:b/>
      <w:bCs/>
      <w:sz w:val="20"/>
      <w:szCs w:val="20"/>
    </w:rPr>
  </w:style>
  <w:style w:type="paragraph" w:styleId="Revision">
    <w:name w:val="Revision"/>
    <w:hidden/>
    <w:uiPriority w:val="99"/>
    <w:semiHidden/>
    <w:rsid w:val="003E38A1"/>
    <w:pPr>
      <w:spacing w:after="0" w:line="240" w:lineRule="auto"/>
    </w:pPr>
  </w:style>
  <w:style w:type="table" w:styleId="TableGrid">
    <w:name w:val="Table Grid"/>
    <w:basedOn w:val="TableNormal"/>
    <w:uiPriority w:val="39"/>
    <w:rsid w:val="00187608"/>
    <w:pPr>
      <w:spacing w:after="0" w:line="264" w:lineRule="auto"/>
      <w:jc w:val="both"/>
    </w:pPr>
    <w:rPr>
      <w:rFonts w:ascii="Arial Bold" w:hAnsi="Arial Bold"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7608"/>
    <w:rPr>
      <w:color w:val="467886" w:themeColor="hyperlink"/>
      <w:u w:val="single"/>
    </w:rPr>
  </w:style>
  <w:style w:type="table" w:customStyle="1" w:styleId="TableGrid1">
    <w:name w:val="Table Grid1"/>
    <w:basedOn w:val="TableNormal"/>
    <w:next w:val="TableGrid"/>
    <w:uiPriority w:val="39"/>
    <w:rsid w:val="00187608"/>
    <w:pPr>
      <w:spacing w:after="0" w:line="240" w:lineRule="auto"/>
    </w:pPr>
    <w:rPr>
      <w:rFonts w:ascii="Times New Roman" w:hAnsi="Times New Roman"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Normal">
    <w:name w:val="SLO Normal"/>
    <w:link w:val="SLONormalChar"/>
    <w:qFormat/>
    <w:rsid w:val="00187608"/>
    <w:pPr>
      <w:spacing w:before="120" w:after="120" w:line="240" w:lineRule="auto"/>
      <w:jc w:val="both"/>
    </w:pPr>
    <w:rPr>
      <w:rFonts w:ascii="Times New Roman" w:eastAsia="Times New Roman" w:hAnsi="Times New Roman" w:cs="Times New Roman"/>
      <w:kern w:val="0"/>
      <w:lang w:val="en-GB"/>
      <w14:ligatures w14:val="none"/>
    </w:rPr>
  </w:style>
  <w:style w:type="character" w:customStyle="1" w:styleId="SLONormalChar">
    <w:name w:val="SLO Normal Char"/>
    <w:link w:val="SLONormal"/>
    <w:rsid w:val="00187608"/>
    <w:rPr>
      <w:rFonts w:ascii="Times New Roman" w:eastAsia="Times New Roman" w:hAnsi="Times New Roman" w:cs="Times New Roman"/>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351434">
      <w:bodyDiv w:val="1"/>
      <w:marLeft w:val="0"/>
      <w:marRight w:val="0"/>
      <w:marTop w:val="0"/>
      <w:marBottom w:val="0"/>
      <w:divBdr>
        <w:top w:val="none" w:sz="0" w:space="0" w:color="auto"/>
        <w:left w:val="none" w:sz="0" w:space="0" w:color="auto"/>
        <w:bottom w:val="none" w:sz="0" w:space="0" w:color="auto"/>
        <w:right w:val="none" w:sz="0" w:space="0" w:color="auto"/>
      </w:divBdr>
      <w:divsChild>
        <w:div w:id="1038049841">
          <w:marLeft w:val="0"/>
          <w:marRight w:val="0"/>
          <w:marTop w:val="0"/>
          <w:marBottom w:val="0"/>
          <w:divBdr>
            <w:top w:val="none" w:sz="0" w:space="0" w:color="auto"/>
            <w:left w:val="none" w:sz="0" w:space="0" w:color="auto"/>
            <w:bottom w:val="none" w:sz="0" w:space="0" w:color="auto"/>
            <w:right w:val="none" w:sz="0" w:space="0" w:color="auto"/>
          </w:divBdr>
          <w:divsChild>
            <w:div w:id="19778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2167">
      <w:bodyDiv w:val="1"/>
      <w:marLeft w:val="0"/>
      <w:marRight w:val="0"/>
      <w:marTop w:val="0"/>
      <w:marBottom w:val="0"/>
      <w:divBdr>
        <w:top w:val="none" w:sz="0" w:space="0" w:color="auto"/>
        <w:left w:val="none" w:sz="0" w:space="0" w:color="auto"/>
        <w:bottom w:val="none" w:sz="0" w:space="0" w:color="auto"/>
        <w:right w:val="none" w:sz="0" w:space="0" w:color="auto"/>
      </w:divBdr>
    </w:div>
    <w:div w:id="1259870761">
      <w:bodyDiv w:val="1"/>
      <w:marLeft w:val="0"/>
      <w:marRight w:val="0"/>
      <w:marTop w:val="0"/>
      <w:marBottom w:val="0"/>
      <w:divBdr>
        <w:top w:val="none" w:sz="0" w:space="0" w:color="auto"/>
        <w:left w:val="none" w:sz="0" w:space="0" w:color="auto"/>
        <w:bottom w:val="none" w:sz="0" w:space="0" w:color="auto"/>
        <w:right w:val="none" w:sz="0" w:space="0" w:color="auto"/>
      </w:divBdr>
      <w:divsChild>
        <w:div w:id="2013601212">
          <w:marLeft w:val="0"/>
          <w:marRight w:val="0"/>
          <w:marTop w:val="0"/>
          <w:marBottom w:val="0"/>
          <w:divBdr>
            <w:top w:val="none" w:sz="0" w:space="0" w:color="auto"/>
            <w:left w:val="none" w:sz="0" w:space="0" w:color="auto"/>
            <w:bottom w:val="none" w:sz="0" w:space="0" w:color="auto"/>
            <w:right w:val="none" w:sz="0" w:space="0" w:color="auto"/>
          </w:divBdr>
          <w:divsChild>
            <w:div w:id="11611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9530">
      <w:bodyDiv w:val="1"/>
      <w:marLeft w:val="0"/>
      <w:marRight w:val="0"/>
      <w:marTop w:val="0"/>
      <w:marBottom w:val="0"/>
      <w:divBdr>
        <w:top w:val="none" w:sz="0" w:space="0" w:color="auto"/>
        <w:left w:val="none" w:sz="0" w:space="0" w:color="auto"/>
        <w:bottom w:val="none" w:sz="0" w:space="0" w:color="auto"/>
        <w:right w:val="none" w:sz="0" w:space="0" w:color="auto"/>
      </w:divBdr>
    </w:div>
    <w:div w:id="2013222100">
      <w:bodyDiv w:val="1"/>
      <w:marLeft w:val="0"/>
      <w:marRight w:val="0"/>
      <w:marTop w:val="0"/>
      <w:marBottom w:val="0"/>
      <w:divBdr>
        <w:top w:val="none" w:sz="0" w:space="0" w:color="auto"/>
        <w:left w:val="none" w:sz="0" w:space="0" w:color="auto"/>
        <w:bottom w:val="none" w:sz="0" w:space="0" w:color="auto"/>
        <w:right w:val="none" w:sz="0" w:space="0" w:color="auto"/>
      </w:divBdr>
    </w:div>
    <w:div w:id="2037072812">
      <w:bodyDiv w:val="1"/>
      <w:marLeft w:val="0"/>
      <w:marRight w:val="0"/>
      <w:marTop w:val="0"/>
      <w:marBottom w:val="0"/>
      <w:divBdr>
        <w:top w:val="none" w:sz="0" w:space="0" w:color="auto"/>
        <w:left w:val="none" w:sz="0" w:space="0" w:color="auto"/>
        <w:bottom w:val="none" w:sz="0" w:space="0" w:color="auto"/>
        <w:right w:val="none" w:sz="0" w:space="0" w:color="auto"/>
      </w:divBdr>
    </w:div>
    <w:div w:id="212830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fin.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lner.Lille@fin.e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27700-F8B3-49FD-93E7-CDCE1DA82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2177</Words>
  <Characters>12631</Characters>
  <Application>Microsoft Office Word</Application>
  <DocSecurity>0</DocSecurity>
  <Lines>105</Lines>
  <Paragraphs>29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Ellex Raidla</dc:creator>
  <cp:keywords/>
  <dc:description/>
  <cp:lastModifiedBy>TGS Baltic</cp:lastModifiedBy>
  <cp:revision>2</cp:revision>
  <dcterms:created xsi:type="dcterms:W3CDTF">2024-08-19T15:47:00Z</dcterms:created>
  <dcterms:modified xsi:type="dcterms:W3CDTF">2024-08-19T15:47:00Z</dcterms:modified>
</cp:coreProperties>
</file>